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0F30E">
      <w:pPr>
        <w:spacing w:before="224" w:line="176" w:lineRule="auto"/>
        <w:jc w:val="both"/>
        <w:rPr>
          <w:rFonts w:hint="eastAsia" w:ascii="宋体" w:hAnsi="宋体" w:eastAsia="宋体" w:cs="宋体"/>
          <w:b/>
          <w:bCs/>
          <w:color w:val="auto"/>
          <w:spacing w:val="69"/>
          <w:sz w:val="52"/>
          <w:szCs w:val="52"/>
        </w:rPr>
      </w:pPr>
      <w:bookmarkStart w:id="11" w:name="_GoBack"/>
      <w:bookmarkEnd w:id="11"/>
    </w:p>
    <w:p w14:paraId="03D42851">
      <w:pPr>
        <w:spacing w:before="224" w:line="176" w:lineRule="auto"/>
        <w:jc w:val="both"/>
        <w:rPr>
          <w:rFonts w:hint="eastAsia" w:ascii="宋体" w:hAnsi="宋体" w:eastAsia="宋体" w:cs="宋体"/>
          <w:b/>
          <w:bCs/>
          <w:color w:val="auto"/>
          <w:spacing w:val="69"/>
          <w:sz w:val="52"/>
          <w:szCs w:val="52"/>
        </w:rPr>
      </w:pPr>
    </w:p>
    <w:p w14:paraId="701B016A">
      <w:pPr>
        <w:spacing w:before="224" w:line="176" w:lineRule="auto"/>
        <w:jc w:val="center"/>
        <w:rPr>
          <w:rFonts w:hint="eastAsia" w:ascii="宋体" w:hAnsi="宋体" w:eastAsia="宋体" w:cs="宋体"/>
          <w:b/>
          <w:bCs/>
          <w:color w:val="auto"/>
          <w:spacing w:val="69"/>
          <w:sz w:val="52"/>
          <w:szCs w:val="52"/>
        </w:rPr>
      </w:pPr>
    </w:p>
    <w:p w14:paraId="003911C5">
      <w:pPr>
        <w:spacing w:before="224" w:line="176" w:lineRule="auto"/>
        <w:jc w:val="center"/>
        <w:rPr>
          <w:rFonts w:hint="eastAsia" w:ascii="黑体" w:hAnsi="黑体" w:eastAsia="黑体" w:cs="黑体"/>
          <w:b/>
          <w:bCs/>
          <w:color w:val="auto"/>
          <w:spacing w:val="0"/>
          <w:sz w:val="52"/>
          <w:szCs w:val="52"/>
        </w:rPr>
      </w:pPr>
      <w:r>
        <w:rPr>
          <w:rFonts w:hint="eastAsia" w:ascii="黑体" w:hAnsi="黑体" w:eastAsia="黑体" w:cs="黑体"/>
          <w:b/>
          <w:bCs/>
          <w:color w:val="auto"/>
          <w:spacing w:val="63"/>
          <w:sz w:val="52"/>
          <w:szCs w:val="52"/>
        </w:rPr>
        <w:t>白城市化工园区</w:t>
      </w:r>
      <w:r>
        <w:rPr>
          <w:rFonts w:hint="eastAsia" w:ascii="黑体" w:hAnsi="黑体" w:eastAsia="黑体" w:cs="黑体"/>
          <w:b/>
          <w:bCs/>
          <w:color w:val="auto"/>
          <w:spacing w:val="52"/>
          <w:sz w:val="52"/>
          <w:szCs w:val="52"/>
        </w:rPr>
        <w:t>产业规</w:t>
      </w:r>
      <w:r>
        <w:rPr>
          <w:rFonts w:hint="eastAsia" w:ascii="黑体" w:hAnsi="黑体" w:eastAsia="黑体" w:cs="黑体"/>
          <w:b/>
          <w:bCs/>
          <w:color w:val="auto"/>
          <w:spacing w:val="51"/>
          <w:sz w:val="52"/>
          <w:szCs w:val="52"/>
        </w:rPr>
        <w:t>划</w:t>
      </w:r>
      <w:r>
        <w:rPr>
          <w:rFonts w:hint="eastAsia" w:ascii="黑体" w:hAnsi="黑体" w:eastAsia="黑体" w:cs="黑体"/>
          <w:b/>
          <w:bCs/>
          <w:color w:val="auto"/>
          <w:spacing w:val="0"/>
          <w:sz w:val="52"/>
          <w:szCs w:val="52"/>
        </w:rPr>
        <w:t>(202</w:t>
      </w:r>
      <w:r>
        <w:rPr>
          <w:rFonts w:hint="eastAsia" w:ascii="黑体" w:hAnsi="黑体" w:eastAsia="黑体" w:cs="黑体"/>
          <w:b/>
          <w:bCs/>
          <w:color w:val="auto"/>
          <w:spacing w:val="0"/>
          <w:sz w:val="52"/>
          <w:szCs w:val="52"/>
          <w:lang w:val="en-US" w:eastAsia="zh-CN"/>
        </w:rPr>
        <w:t>4</w:t>
      </w:r>
      <w:r>
        <w:rPr>
          <w:rFonts w:hint="eastAsia" w:ascii="黑体" w:hAnsi="黑体" w:eastAsia="黑体" w:cs="黑体"/>
          <w:b/>
          <w:bCs/>
          <w:color w:val="auto"/>
          <w:spacing w:val="0"/>
          <w:sz w:val="52"/>
          <w:szCs w:val="52"/>
        </w:rPr>
        <w:t>—2035年)</w:t>
      </w:r>
    </w:p>
    <w:p w14:paraId="0B60D011">
      <w:pPr>
        <w:tabs>
          <w:tab w:val="left" w:pos="2877"/>
        </w:tabs>
        <w:spacing w:before="223" w:line="169" w:lineRule="auto"/>
        <w:ind w:firstLine="3132" w:firstLineChars="600"/>
        <w:jc w:val="both"/>
        <w:rPr>
          <w:rFonts w:hint="eastAsia" w:ascii="黑体" w:hAnsi="黑体" w:eastAsia="黑体" w:cs="黑体"/>
          <w:b/>
          <w:bCs/>
          <w:color w:val="auto"/>
          <w:spacing w:val="0"/>
          <w:sz w:val="52"/>
          <w:szCs w:val="52"/>
          <w:lang w:eastAsia="zh-CN"/>
        </w:rPr>
      </w:pPr>
      <w:r>
        <w:rPr>
          <w:rFonts w:hint="eastAsia" w:ascii="黑体" w:hAnsi="黑体" w:eastAsia="黑体" w:cs="黑体"/>
          <w:b/>
          <w:bCs/>
          <w:color w:val="auto"/>
          <w:spacing w:val="0"/>
          <w:sz w:val="52"/>
          <w:szCs w:val="52"/>
          <w:lang w:eastAsia="zh-CN"/>
        </w:rPr>
        <w:t>草案公示</w:t>
      </w:r>
    </w:p>
    <w:p w14:paraId="5DC2A3D5">
      <w:pPr>
        <w:spacing w:line="244" w:lineRule="auto"/>
        <w:rPr>
          <w:rFonts w:hint="eastAsia" w:ascii="黑体" w:hAnsi="黑体" w:eastAsia="黑体" w:cs="黑体"/>
          <w:b/>
          <w:bCs/>
          <w:color w:val="auto"/>
          <w:sz w:val="52"/>
          <w:szCs w:val="52"/>
        </w:rPr>
      </w:pPr>
    </w:p>
    <w:p w14:paraId="58641C1D">
      <w:pPr>
        <w:spacing w:line="244" w:lineRule="auto"/>
        <w:rPr>
          <w:rFonts w:ascii="Arial"/>
          <w:color w:val="auto"/>
          <w:sz w:val="21"/>
        </w:rPr>
      </w:pPr>
    </w:p>
    <w:p w14:paraId="22219BEA">
      <w:pPr>
        <w:spacing w:line="244" w:lineRule="auto"/>
        <w:rPr>
          <w:rFonts w:ascii="Arial"/>
          <w:color w:val="auto"/>
          <w:sz w:val="21"/>
        </w:rPr>
      </w:pPr>
    </w:p>
    <w:p w14:paraId="1D3B693B">
      <w:pPr>
        <w:spacing w:line="244" w:lineRule="auto"/>
        <w:rPr>
          <w:rFonts w:ascii="Arial"/>
          <w:color w:val="auto"/>
          <w:sz w:val="21"/>
        </w:rPr>
      </w:pPr>
    </w:p>
    <w:p w14:paraId="69F1D4CE">
      <w:pPr>
        <w:spacing w:line="244" w:lineRule="auto"/>
        <w:rPr>
          <w:rFonts w:ascii="Arial"/>
          <w:color w:val="auto"/>
          <w:sz w:val="21"/>
        </w:rPr>
      </w:pPr>
    </w:p>
    <w:p w14:paraId="2D87CC8C">
      <w:pPr>
        <w:spacing w:line="244" w:lineRule="auto"/>
        <w:rPr>
          <w:rFonts w:ascii="Arial"/>
          <w:color w:val="auto"/>
          <w:sz w:val="21"/>
        </w:rPr>
      </w:pPr>
    </w:p>
    <w:p w14:paraId="1DE477C1">
      <w:pPr>
        <w:spacing w:line="244" w:lineRule="auto"/>
        <w:rPr>
          <w:rFonts w:ascii="Arial"/>
          <w:color w:val="auto"/>
          <w:sz w:val="21"/>
        </w:rPr>
      </w:pPr>
    </w:p>
    <w:p w14:paraId="7AC189E9">
      <w:pPr>
        <w:spacing w:line="244" w:lineRule="auto"/>
        <w:rPr>
          <w:rFonts w:ascii="Arial"/>
          <w:color w:val="auto"/>
          <w:sz w:val="21"/>
        </w:rPr>
      </w:pPr>
    </w:p>
    <w:p w14:paraId="0BABF418">
      <w:pPr>
        <w:spacing w:line="244" w:lineRule="auto"/>
        <w:rPr>
          <w:rFonts w:ascii="Arial"/>
          <w:color w:val="auto"/>
          <w:sz w:val="21"/>
        </w:rPr>
      </w:pPr>
    </w:p>
    <w:p w14:paraId="5BD23B70">
      <w:pPr>
        <w:spacing w:line="244" w:lineRule="auto"/>
        <w:rPr>
          <w:rFonts w:ascii="Arial"/>
          <w:color w:val="auto"/>
          <w:sz w:val="21"/>
        </w:rPr>
      </w:pPr>
    </w:p>
    <w:p w14:paraId="38F140DF">
      <w:pPr>
        <w:spacing w:line="245" w:lineRule="auto"/>
        <w:rPr>
          <w:rFonts w:ascii="Arial"/>
          <w:color w:val="auto"/>
          <w:sz w:val="21"/>
        </w:rPr>
      </w:pPr>
    </w:p>
    <w:p w14:paraId="5B8A2564">
      <w:pPr>
        <w:spacing w:line="245" w:lineRule="auto"/>
        <w:rPr>
          <w:rFonts w:ascii="Arial"/>
          <w:color w:val="auto"/>
          <w:sz w:val="21"/>
        </w:rPr>
      </w:pPr>
    </w:p>
    <w:p w14:paraId="14F9970F">
      <w:pPr>
        <w:spacing w:line="245" w:lineRule="auto"/>
        <w:rPr>
          <w:rFonts w:ascii="Arial"/>
          <w:color w:val="auto"/>
          <w:sz w:val="21"/>
        </w:rPr>
      </w:pPr>
    </w:p>
    <w:p w14:paraId="66522CF4">
      <w:pPr>
        <w:spacing w:line="245" w:lineRule="auto"/>
        <w:rPr>
          <w:rFonts w:ascii="Arial"/>
          <w:color w:val="auto"/>
          <w:sz w:val="21"/>
        </w:rPr>
      </w:pPr>
    </w:p>
    <w:p w14:paraId="2BF99CF2">
      <w:pPr>
        <w:spacing w:line="245" w:lineRule="auto"/>
        <w:rPr>
          <w:rFonts w:ascii="Arial"/>
          <w:color w:val="auto"/>
          <w:sz w:val="21"/>
        </w:rPr>
      </w:pPr>
    </w:p>
    <w:p w14:paraId="4F2C15CA">
      <w:pPr>
        <w:spacing w:line="245" w:lineRule="auto"/>
        <w:rPr>
          <w:rFonts w:ascii="Arial"/>
          <w:color w:val="auto"/>
          <w:sz w:val="21"/>
        </w:rPr>
      </w:pPr>
    </w:p>
    <w:p w14:paraId="57FDD27C">
      <w:pPr>
        <w:spacing w:line="245" w:lineRule="auto"/>
        <w:rPr>
          <w:rFonts w:ascii="Arial"/>
          <w:color w:val="auto"/>
          <w:sz w:val="21"/>
        </w:rPr>
      </w:pPr>
    </w:p>
    <w:p w14:paraId="100C8C47">
      <w:pPr>
        <w:spacing w:line="245" w:lineRule="auto"/>
        <w:rPr>
          <w:rFonts w:ascii="Arial"/>
          <w:color w:val="auto"/>
          <w:sz w:val="21"/>
        </w:rPr>
      </w:pPr>
    </w:p>
    <w:p w14:paraId="5191DE77">
      <w:pPr>
        <w:spacing w:line="245" w:lineRule="auto"/>
        <w:rPr>
          <w:rFonts w:ascii="Arial"/>
          <w:color w:val="auto"/>
          <w:sz w:val="21"/>
        </w:rPr>
      </w:pPr>
    </w:p>
    <w:p w14:paraId="584A72F2">
      <w:pPr>
        <w:spacing w:line="245" w:lineRule="auto"/>
        <w:rPr>
          <w:rFonts w:ascii="Arial"/>
          <w:color w:val="auto"/>
          <w:sz w:val="21"/>
        </w:rPr>
      </w:pPr>
    </w:p>
    <w:p w14:paraId="7080D120">
      <w:pPr>
        <w:spacing w:line="245" w:lineRule="auto"/>
        <w:rPr>
          <w:rFonts w:ascii="Arial"/>
          <w:color w:val="auto"/>
          <w:sz w:val="21"/>
        </w:rPr>
      </w:pPr>
    </w:p>
    <w:p w14:paraId="5888D3EF">
      <w:pPr>
        <w:spacing w:line="245" w:lineRule="auto"/>
        <w:rPr>
          <w:rFonts w:ascii="Arial"/>
          <w:color w:val="auto"/>
          <w:sz w:val="21"/>
        </w:rPr>
      </w:pPr>
    </w:p>
    <w:p w14:paraId="6BC3A338">
      <w:pPr>
        <w:spacing w:line="245" w:lineRule="auto"/>
        <w:rPr>
          <w:rFonts w:ascii="Arial"/>
          <w:color w:val="auto"/>
          <w:sz w:val="21"/>
        </w:rPr>
      </w:pPr>
    </w:p>
    <w:p w14:paraId="218583C5">
      <w:pPr>
        <w:pStyle w:val="3"/>
        <w:keepNext w:val="0"/>
        <w:keepLines w:val="0"/>
        <w:widowControl/>
        <w:suppressLineNumbers w:val="0"/>
        <w:shd w:val="clear" w:fill="FFFFFF"/>
        <w:kinsoku/>
        <w:autoSpaceDE/>
        <w:autoSpaceDN/>
        <w:adjustRightInd/>
        <w:snapToGrid/>
        <w:spacing w:line="240" w:lineRule="auto"/>
        <w:ind w:left="0" w:firstLine="0"/>
        <w:jc w:val="center"/>
        <w:textAlignment w:val="auto"/>
        <w:rPr>
          <w:rFonts w:hint="eastAsia" w:ascii="宋体" w:hAnsi="宋体" w:eastAsia="宋体" w:cs="宋体"/>
          <w:color w:val="auto"/>
          <w:spacing w:val="0"/>
          <w:sz w:val="44"/>
          <w:szCs w:val="44"/>
          <w:lang w:val="en-US" w:eastAsia="zh-CN"/>
        </w:rPr>
      </w:pPr>
    </w:p>
    <w:p w14:paraId="6F4F9B24">
      <w:pPr>
        <w:pStyle w:val="3"/>
        <w:keepNext w:val="0"/>
        <w:keepLines w:val="0"/>
        <w:widowControl/>
        <w:suppressLineNumbers w:val="0"/>
        <w:shd w:val="clear" w:fill="FFFFFF"/>
        <w:kinsoku/>
        <w:autoSpaceDE/>
        <w:autoSpaceDN/>
        <w:adjustRightInd/>
        <w:snapToGrid/>
        <w:spacing w:line="240" w:lineRule="auto"/>
        <w:ind w:left="0" w:firstLine="0"/>
        <w:jc w:val="center"/>
        <w:textAlignment w:val="auto"/>
        <w:rPr>
          <w:rFonts w:hint="eastAsia" w:ascii="宋体" w:hAnsi="宋体" w:eastAsia="宋体" w:cs="宋体"/>
          <w:color w:val="auto"/>
          <w:spacing w:val="0"/>
          <w:sz w:val="44"/>
          <w:szCs w:val="44"/>
          <w:lang w:val="en-US" w:eastAsia="zh-CN"/>
        </w:rPr>
      </w:pPr>
    </w:p>
    <w:p w14:paraId="441106B2">
      <w:pPr>
        <w:pStyle w:val="3"/>
        <w:keepNext w:val="0"/>
        <w:keepLines w:val="0"/>
        <w:widowControl/>
        <w:suppressLineNumbers w:val="0"/>
        <w:shd w:val="clear" w:fill="FFFFFF"/>
        <w:kinsoku/>
        <w:autoSpaceDE/>
        <w:autoSpaceDN/>
        <w:adjustRightInd/>
        <w:snapToGrid/>
        <w:spacing w:line="240" w:lineRule="auto"/>
        <w:ind w:left="0" w:firstLine="0"/>
        <w:jc w:val="center"/>
        <w:textAlignment w:val="auto"/>
        <w:rPr>
          <w:rFonts w:hint="eastAsia" w:ascii="黑体" w:hAnsi="黑体" w:eastAsia="黑体" w:cs="黑体"/>
          <w:i w:val="0"/>
          <w:iCs w:val="0"/>
          <w:caps w:val="0"/>
          <w:snapToGrid/>
          <w:color w:val="000000"/>
          <w:spacing w:val="0"/>
          <w:sz w:val="36"/>
          <w:szCs w:val="36"/>
          <w:shd w:val="clear" w:fill="FFFFFF"/>
          <w:lang w:val="en-US" w:eastAsia="zh-CN"/>
        </w:rPr>
      </w:pPr>
      <w:r>
        <w:rPr>
          <w:rFonts w:hint="eastAsia" w:ascii="宋体" w:hAnsi="宋体" w:eastAsia="宋体" w:cs="宋体"/>
          <w:color w:val="auto"/>
          <w:spacing w:val="0"/>
          <w:sz w:val="44"/>
          <w:szCs w:val="44"/>
          <w:lang w:val="en-US" w:eastAsia="zh-CN"/>
        </w:rPr>
        <w:t xml:space="preserve"> </w:t>
      </w:r>
      <w:r>
        <w:rPr>
          <w:rFonts w:hint="eastAsia" w:ascii="黑体" w:hAnsi="黑体" w:eastAsia="黑体" w:cs="黑体"/>
          <w:i w:val="0"/>
          <w:iCs w:val="0"/>
          <w:caps w:val="0"/>
          <w:snapToGrid/>
          <w:color w:val="000000"/>
          <w:spacing w:val="0"/>
          <w:sz w:val="36"/>
          <w:szCs w:val="36"/>
          <w:shd w:val="clear" w:fill="FFFFFF"/>
          <w:lang w:val="en-US" w:eastAsia="zh-CN"/>
        </w:rPr>
        <w:t>吉林白城工业园区管理委员会</w:t>
      </w:r>
    </w:p>
    <w:p w14:paraId="324296AF">
      <w:pPr>
        <w:pStyle w:val="3"/>
        <w:keepNext w:val="0"/>
        <w:keepLines w:val="0"/>
        <w:widowControl/>
        <w:suppressLineNumbers w:val="0"/>
        <w:shd w:val="clear" w:fill="FFFFFF"/>
        <w:kinsoku/>
        <w:autoSpaceDE/>
        <w:autoSpaceDN/>
        <w:adjustRightInd/>
        <w:snapToGrid/>
        <w:spacing w:line="240" w:lineRule="auto"/>
        <w:ind w:left="0" w:firstLine="0"/>
        <w:jc w:val="center"/>
        <w:textAlignment w:val="auto"/>
        <w:rPr>
          <w:rFonts w:hint="eastAsia" w:ascii="黑体" w:hAnsi="黑体" w:eastAsia="黑体" w:cs="黑体"/>
          <w:i w:val="0"/>
          <w:iCs w:val="0"/>
          <w:caps w:val="0"/>
          <w:snapToGrid/>
          <w:color w:val="000000"/>
          <w:spacing w:val="0"/>
          <w:sz w:val="36"/>
          <w:szCs w:val="36"/>
          <w:shd w:val="clear" w:fill="FFFFFF"/>
          <w:lang w:val="en-US" w:eastAsia="zh-CN"/>
        </w:rPr>
      </w:pPr>
      <w:r>
        <w:rPr>
          <w:rFonts w:hint="eastAsia" w:ascii="黑体" w:hAnsi="黑体" w:eastAsia="黑体" w:cs="黑体"/>
          <w:i w:val="0"/>
          <w:iCs w:val="0"/>
          <w:caps w:val="0"/>
          <w:snapToGrid/>
          <w:color w:val="000000"/>
          <w:spacing w:val="0"/>
          <w:sz w:val="36"/>
          <w:szCs w:val="36"/>
          <w:shd w:val="clear" w:fill="FFFFFF"/>
          <w:lang w:val="en-US" w:eastAsia="zh-CN"/>
        </w:rPr>
        <w:t>2024 年 9 月</w:t>
      </w:r>
    </w:p>
    <w:p w14:paraId="41C29A06">
      <w:pPr>
        <w:jc w:val="center"/>
        <w:rPr>
          <w:rFonts w:hint="eastAsia" w:ascii="宋体" w:hAnsi="宋体" w:eastAsia="宋体" w:cs="宋体"/>
          <w:color w:val="auto"/>
          <w:sz w:val="44"/>
          <w:szCs w:val="44"/>
        </w:rPr>
        <w:sectPr>
          <w:footerReference r:id="rId5" w:type="default"/>
          <w:pgSz w:w="11900" w:h="16840"/>
          <w:pgMar w:top="1431" w:right="1785" w:bottom="0" w:left="1785" w:header="0" w:footer="0" w:gutter="0"/>
          <w:pgNumType w:fmt="decimal"/>
          <w:cols w:space="720" w:num="1"/>
        </w:sectPr>
      </w:pPr>
    </w:p>
    <w:p w14:paraId="35F06089">
      <w:pPr>
        <w:spacing w:before="247" w:line="183" w:lineRule="auto"/>
        <w:ind w:firstLine="3204" w:firstLineChars="900"/>
        <w:rPr>
          <w:rFonts w:ascii="微软雅黑" w:hAnsi="微软雅黑" w:eastAsia="微软雅黑" w:cs="微软雅黑"/>
          <w:color w:val="auto"/>
          <w:sz w:val="35"/>
          <w:szCs w:val="35"/>
        </w:rPr>
      </w:pPr>
      <w:r>
        <w:rPr>
          <w:rFonts w:ascii="微软雅黑" w:hAnsi="微软雅黑" w:eastAsia="微软雅黑" w:cs="微软雅黑"/>
          <w:color w:val="auto"/>
          <w:spacing w:val="3"/>
          <w:sz w:val="35"/>
          <w:szCs w:val="35"/>
        </w:rPr>
        <w:t>前</w:t>
      </w:r>
      <w:r>
        <w:rPr>
          <w:rFonts w:ascii="微软雅黑" w:hAnsi="微软雅黑" w:eastAsia="微软雅黑" w:cs="微软雅黑"/>
          <w:color w:val="auto"/>
          <w:spacing w:val="2"/>
          <w:sz w:val="35"/>
          <w:szCs w:val="35"/>
        </w:rPr>
        <w:t xml:space="preserve">       言</w:t>
      </w:r>
    </w:p>
    <w:p w14:paraId="2897096B">
      <w:pPr>
        <w:spacing w:line="467" w:lineRule="auto"/>
        <w:rPr>
          <w:rFonts w:ascii="Arial"/>
          <w:color w:val="auto"/>
          <w:sz w:val="21"/>
        </w:rPr>
      </w:pPr>
    </w:p>
    <w:p w14:paraId="612AE6BE">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7"/>
        <w:jc w:val="both"/>
        <w:textAlignment w:val="baseline"/>
        <w:rPr>
          <w:rFonts w:hint="eastAsia" w:ascii="宋体" w:hAnsi="宋体" w:eastAsia="宋体" w:cs="宋体"/>
          <w:color w:val="auto"/>
          <w:spacing w:val="0"/>
          <w:position w:val="0"/>
          <w:sz w:val="32"/>
          <w:szCs w:val="32"/>
        </w:rPr>
      </w:pPr>
      <w:r>
        <w:rPr>
          <w:rFonts w:hint="eastAsia" w:ascii="宋体" w:hAnsi="宋体" w:eastAsia="宋体" w:cs="宋体"/>
          <w:color w:val="auto"/>
          <w:spacing w:val="0"/>
          <w:position w:val="0"/>
          <w:sz w:val="32"/>
          <w:szCs w:val="32"/>
        </w:rPr>
        <w:t>吉林省白城市化工园区隶属于吉林白城工业园区，位于吉林白城工业园区东</w:t>
      </w:r>
      <w:r>
        <w:rPr>
          <w:rFonts w:hint="eastAsia" w:ascii="宋体" w:hAnsi="宋体" w:eastAsia="宋体" w:cs="宋体"/>
          <w:color w:val="auto"/>
          <w:spacing w:val="0"/>
          <w:position w:val="0"/>
          <w:sz w:val="32"/>
          <w:szCs w:val="32"/>
          <w:lang w:eastAsia="zh-CN"/>
        </w:rPr>
        <w:t>南</w:t>
      </w:r>
      <w:r>
        <w:rPr>
          <w:rFonts w:hint="eastAsia" w:ascii="宋体" w:hAnsi="宋体" w:eastAsia="宋体" w:cs="宋体"/>
          <w:color w:val="auto"/>
          <w:spacing w:val="0"/>
          <w:position w:val="0"/>
          <w:sz w:val="32"/>
          <w:szCs w:val="32"/>
        </w:rPr>
        <w:t>部，</w:t>
      </w:r>
      <w:r>
        <w:rPr>
          <w:rFonts w:hint="eastAsia" w:ascii="宋体" w:hAnsi="宋体" w:eastAsia="宋体" w:cs="宋体"/>
          <w:color w:val="auto"/>
          <w:spacing w:val="0"/>
          <w:position w:val="0"/>
          <w:sz w:val="32"/>
          <w:szCs w:val="32"/>
          <w:lang w:val="en-US" w:eastAsia="zh-CN"/>
        </w:rPr>
        <w:t>目前已初步形成，陆续有项目落地，园区规划总面积 4.58 平方公里，四至范围东至 302 国道以西，西至珲乌高速公路以东，南至长白铁路以北，北至珠江路。</w:t>
      </w:r>
    </w:p>
    <w:p w14:paraId="35CF6D16">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7"/>
        <w:jc w:val="both"/>
        <w:textAlignment w:val="baseline"/>
        <w:rPr>
          <w:rFonts w:hint="eastAsia" w:ascii="宋体" w:hAnsi="宋体" w:eastAsia="宋体" w:cs="宋体"/>
          <w:color w:val="auto"/>
          <w:spacing w:val="0"/>
          <w:position w:val="0"/>
          <w:sz w:val="32"/>
          <w:szCs w:val="32"/>
        </w:rPr>
      </w:pPr>
      <w:r>
        <w:rPr>
          <w:rFonts w:hint="eastAsia" w:ascii="宋体" w:hAnsi="宋体" w:eastAsia="宋体" w:cs="宋体"/>
          <w:color w:val="auto"/>
          <w:spacing w:val="0"/>
          <w:position w:val="0"/>
          <w:sz w:val="32"/>
          <w:szCs w:val="32"/>
        </w:rPr>
        <w:t>吉林省为进一步优化全省化工产业布局，提高化工产业本质安全和绿色发展水平，规范化工园区开发建设，提升化工园区承载能力</w:t>
      </w:r>
      <w:r>
        <w:rPr>
          <w:rFonts w:hint="eastAsia" w:ascii="宋体" w:hAnsi="宋体" w:eastAsia="宋体" w:cs="宋体"/>
          <w:color w:val="auto"/>
          <w:spacing w:val="0"/>
          <w:position w:val="0"/>
          <w:sz w:val="32"/>
          <w:szCs w:val="32"/>
          <w:lang w:eastAsia="zh-CN"/>
        </w:rPr>
        <w:t>，</w:t>
      </w:r>
      <w:r>
        <w:rPr>
          <w:rFonts w:hint="eastAsia" w:ascii="宋体" w:hAnsi="宋体" w:eastAsia="宋体" w:cs="宋体"/>
          <w:color w:val="auto"/>
          <w:spacing w:val="0"/>
          <w:position w:val="0"/>
          <w:sz w:val="32"/>
          <w:szCs w:val="32"/>
        </w:rPr>
        <w:t>促进化工产业转型升级，推动化工园区高质量发展。</w:t>
      </w:r>
    </w:p>
    <w:p w14:paraId="38625FF1">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56"/>
        <w:jc w:val="both"/>
        <w:textAlignment w:val="baseline"/>
        <w:rPr>
          <w:rFonts w:hint="eastAsia" w:ascii="宋体" w:hAnsi="宋体" w:eastAsia="宋体" w:cs="宋体"/>
          <w:color w:val="auto"/>
          <w:spacing w:val="0"/>
          <w:position w:val="0"/>
          <w:sz w:val="32"/>
          <w:szCs w:val="32"/>
        </w:rPr>
        <w:sectPr>
          <w:pgSz w:w="11900" w:h="16840"/>
          <w:pgMar w:top="1431" w:right="1152" w:bottom="0" w:left="1785" w:header="0" w:footer="0" w:gutter="0"/>
          <w:pgNumType w:fmt="decimal"/>
          <w:cols w:space="720" w:num="1"/>
        </w:sectPr>
      </w:pPr>
      <w:r>
        <w:rPr>
          <w:rFonts w:hint="eastAsia" w:ascii="宋体" w:hAnsi="宋体" w:eastAsia="宋体" w:cs="宋体"/>
          <w:color w:val="auto"/>
          <w:spacing w:val="0"/>
          <w:position w:val="0"/>
          <w:sz w:val="32"/>
          <w:szCs w:val="32"/>
        </w:rPr>
        <w:t>《吉林省白城市化工园区产业规划(202</w:t>
      </w:r>
      <w:r>
        <w:rPr>
          <w:rFonts w:hint="eastAsia" w:ascii="宋体" w:hAnsi="宋体" w:eastAsia="宋体" w:cs="宋体"/>
          <w:color w:val="auto"/>
          <w:spacing w:val="0"/>
          <w:position w:val="0"/>
          <w:sz w:val="32"/>
          <w:szCs w:val="32"/>
          <w:lang w:val="en-US" w:eastAsia="zh-CN"/>
        </w:rPr>
        <w:t>4</w:t>
      </w:r>
      <w:r>
        <w:rPr>
          <w:rFonts w:hint="eastAsia" w:ascii="宋体" w:hAnsi="宋体" w:eastAsia="宋体" w:cs="宋体"/>
          <w:color w:val="auto"/>
          <w:spacing w:val="0"/>
          <w:position w:val="0"/>
          <w:sz w:val="32"/>
          <w:szCs w:val="32"/>
        </w:rPr>
        <w:t>-2035)》根据《吉林省白城市化工园区总体规划(202</w:t>
      </w:r>
      <w:r>
        <w:rPr>
          <w:rFonts w:hint="eastAsia" w:ascii="宋体" w:hAnsi="宋体" w:eastAsia="宋体" w:cs="宋体"/>
          <w:color w:val="auto"/>
          <w:spacing w:val="0"/>
          <w:position w:val="0"/>
          <w:sz w:val="32"/>
          <w:szCs w:val="32"/>
          <w:lang w:val="en-US" w:eastAsia="zh-CN"/>
        </w:rPr>
        <w:t>4</w:t>
      </w:r>
      <w:r>
        <w:rPr>
          <w:rFonts w:hint="eastAsia" w:ascii="宋体" w:hAnsi="宋体" w:eastAsia="宋体" w:cs="宋体"/>
          <w:color w:val="auto"/>
          <w:spacing w:val="0"/>
          <w:position w:val="0"/>
          <w:sz w:val="32"/>
          <w:szCs w:val="32"/>
        </w:rPr>
        <w:t>-2035)》和《吉林省化工园区认定管理实施细则》(试行)等文件编制。建设白城市化工产业园区将助力我省化工行业发展，完善我省化工行业的产业布局，促进产业链闭环发展。</w:t>
      </w:r>
    </w:p>
    <w:p w14:paraId="1640C607">
      <w:pPr>
        <w:spacing w:before="150" w:line="180" w:lineRule="auto"/>
        <w:ind w:left="2731"/>
        <w:rPr>
          <w:rFonts w:ascii="微软雅黑" w:hAnsi="微软雅黑" w:eastAsia="微软雅黑" w:cs="微软雅黑"/>
          <w:color w:val="auto"/>
          <w:sz w:val="35"/>
          <w:szCs w:val="35"/>
        </w:rPr>
      </w:pPr>
      <w:r>
        <w:rPr>
          <w:rFonts w:ascii="微软雅黑" w:hAnsi="微软雅黑" w:eastAsia="微软雅黑" w:cs="微软雅黑"/>
          <w:color w:val="auto"/>
          <w:spacing w:val="10"/>
          <w:sz w:val="35"/>
          <w:szCs w:val="35"/>
        </w:rPr>
        <w:t>基础发展条件分析</w:t>
      </w:r>
    </w:p>
    <w:p w14:paraId="512D02F6">
      <w:pPr>
        <w:spacing w:line="441" w:lineRule="auto"/>
        <w:rPr>
          <w:rFonts w:ascii="Arial"/>
          <w:color w:val="auto"/>
          <w:sz w:val="21"/>
        </w:rPr>
      </w:pPr>
    </w:p>
    <w:p w14:paraId="5AFAB4F2">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640" w:firstLineChars="200"/>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rPr>
        <w:t>土地资源</w:t>
      </w:r>
    </w:p>
    <w:p w14:paraId="6F573569">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宋体" w:hAnsi="宋体" w:eastAsia="宋体" w:cs="宋体"/>
          <w:sz w:val="32"/>
          <w:szCs w:val="32"/>
        </w:rPr>
      </w:pPr>
      <w:r>
        <w:rPr>
          <w:rFonts w:hint="eastAsia" w:ascii="宋体" w:hAnsi="宋体" w:eastAsia="宋体" w:cs="宋体"/>
          <w:color w:val="auto"/>
          <w:spacing w:val="0"/>
          <w:position w:val="0"/>
          <w:sz w:val="32"/>
          <w:szCs w:val="32"/>
          <w:lang w:val="en-US" w:eastAsia="zh-CN"/>
        </w:rPr>
        <w:t>园区总规划范围 4.58 平方公里，园区现状以工业用地和空闲地为主，共计 457.99 公顷。其中已征已建、在建共的 195 公顷（吉林梅花氨基酸有限责任公司），已建道路 7.69 公顷，其余空闲地为 255.3 公顷。</w:t>
      </w:r>
      <w:r>
        <w:rPr>
          <w:rFonts w:hint="eastAsia" w:ascii="宋体" w:hAnsi="宋体" w:eastAsia="宋体" w:cs="宋体"/>
          <w:color w:val="auto"/>
          <w:spacing w:val="0"/>
          <w:position w:val="0"/>
          <w:sz w:val="32"/>
          <w:szCs w:val="32"/>
        </w:rPr>
        <mc:AlternateContent>
          <mc:Choice Requires="wps">
            <w:drawing>
              <wp:anchor distT="0" distB="0" distL="114300" distR="114300" simplePos="0" relativeHeight="251660288" behindDoc="0" locked="0" layoutInCell="0" allowOverlap="1">
                <wp:simplePos x="0" y="0"/>
                <wp:positionH relativeFrom="page">
                  <wp:posOffset>4018280</wp:posOffset>
                </wp:positionH>
                <wp:positionV relativeFrom="page">
                  <wp:posOffset>10154285</wp:posOffset>
                </wp:positionV>
                <wp:extent cx="212725" cy="9906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12725" cy="99060"/>
                        </a:xfrm>
                        <a:prstGeom prst="rect">
                          <a:avLst/>
                        </a:prstGeom>
                        <a:noFill/>
                        <a:ln>
                          <a:noFill/>
                        </a:ln>
                      </wps:spPr>
                      <wps:txbx>
                        <w:txbxContent>
                          <w:p w14:paraId="7F7DA604">
                            <w:pPr>
                              <w:spacing w:before="20" w:line="115" w:lineRule="exact"/>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316.4pt;margin-top:799.55pt;height:7.8pt;width:16.75pt;mso-position-horizontal-relative:page;mso-position-vertical-relative:page;z-index:251660288;mso-width-relative:page;mso-height-relative:page;" filled="f" stroked="f" coordsize="21600,21600" o:allowincell="f" o:gfxdata="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ZbFjHbAAAADQEAAA8AAAAAAAAAAQAgAAAAIgAAAGRycy9kb3ducmV2LnhtbFBL&#10;AQIUABQAAAAIAIdO4kAYZwCNugEAAHADAAAOAAAAAAAAAAEAIAAAACoBAABkcnMvZTJvRG9jLnht&#10;bFBLBQYAAAAABgAGAFkBAABWBQAAAAA=&#10;">
                <v:fill on="f" focussize="0,0"/>
                <v:stroke on="f"/>
                <v:imagedata o:title=""/>
                <o:lock v:ext="edit" aspectratio="f"/>
                <v:textbox inset="0mm,0mm,0mm,0mm">
                  <w:txbxContent>
                    <w:p w14:paraId="7F7DA604">
                      <w:pPr>
                        <w:spacing w:before="20" w:line="115" w:lineRule="exact"/>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2"/>
                          <w:sz w:val="17"/>
                          <w:szCs w:val="17"/>
                        </w:rPr>
                        <w:t xml:space="preserve">   -</w:t>
                      </w:r>
                    </w:p>
                  </w:txbxContent>
                </v:textbox>
              </v:shape>
            </w:pict>
          </mc:Fallback>
        </mc:AlternateContent>
      </w:r>
    </w:p>
    <w:p w14:paraId="440A31DA">
      <w:pPr>
        <w:spacing w:before="208" w:line="178" w:lineRule="auto"/>
        <w:ind w:firstLine="254" w:firstLineChars="100"/>
        <w:rPr>
          <w:rFonts w:ascii="微软雅黑" w:hAnsi="微软雅黑" w:eastAsia="微软雅黑" w:cs="微软雅黑"/>
          <w:color w:val="auto"/>
          <w:spacing w:val="6"/>
          <w:sz w:val="31"/>
          <w:szCs w:val="31"/>
        </w:rPr>
      </w:pPr>
      <w:r>
        <w:rPr>
          <w:rFonts w:ascii="微软雅黑" w:hAnsi="微软雅黑" w:eastAsia="微软雅黑" w:cs="微软雅黑"/>
          <w:color w:val="auto"/>
          <w:spacing w:val="-13"/>
          <w:sz w:val="28"/>
          <w:szCs w:val="28"/>
        </w:rPr>
        <w:t xml:space="preserve">  土地利用现状图</w:t>
      </w:r>
    </w:p>
    <w:p w14:paraId="2B36C16A">
      <w:pPr>
        <w:bidi w:val="0"/>
        <w:ind w:firstLine="366" w:firstLineChars="0"/>
        <w:jc w:val="left"/>
        <w:rPr>
          <w:rFonts w:hint="eastAsia" w:eastAsia="宋体"/>
          <w:color w:val="auto"/>
          <w:lang w:eastAsia="zh-CN"/>
        </w:rPr>
      </w:pPr>
      <w:r>
        <w:rPr>
          <w:rFonts w:hint="eastAsia" w:eastAsia="宋体"/>
          <w:color w:val="auto"/>
          <w:lang w:eastAsia="zh-CN"/>
        </w:rPr>
        <w:drawing>
          <wp:inline distT="0" distB="0" distL="114300" distR="114300">
            <wp:extent cx="5371465" cy="3799205"/>
            <wp:effectExtent l="0" t="0" r="635" b="10795"/>
            <wp:docPr id="2" name="图片 2" descr="白城市化工园区总体规划（定稿）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白城市化工园区总体规划（定稿）_纯图版_00"/>
                    <pic:cNvPicPr>
                      <a:picLocks noChangeAspect="1"/>
                    </pic:cNvPicPr>
                  </pic:nvPicPr>
                  <pic:blipFill>
                    <a:blip r:embed="rId8"/>
                    <a:stretch>
                      <a:fillRect/>
                    </a:stretch>
                  </pic:blipFill>
                  <pic:spPr>
                    <a:xfrm>
                      <a:off x="0" y="0"/>
                      <a:ext cx="5371465" cy="3799205"/>
                    </a:xfrm>
                    <a:prstGeom prst="rect">
                      <a:avLst/>
                    </a:prstGeom>
                  </pic:spPr>
                </pic:pic>
              </a:graphicData>
            </a:graphic>
          </wp:inline>
        </w:drawing>
      </w:r>
    </w:p>
    <w:p w14:paraId="40DC1A88">
      <w:pPr>
        <w:keepNext w:val="0"/>
        <w:keepLines w:val="0"/>
        <w:pageBreakBefore w:val="0"/>
        <w:widowControl/>
        <w:kinsoku w:val="0"/>
        <w:wordWrap/>
        <w:overflowPunct/>
        <w:topLinePunct w:val="0"/>
        <w:autoSpaceDE w:val="0"/>
        <w:autoSpaceDN w:val="0"/>
        <w:bidi w:val="0"/>
        <w:adjustRightInd w:val="0"/>
        <w:snapToGrid w:val="0"/>
        <w:spacing w:line="540" w:lineRule="exact"/>
        <w:ind w:firstLine="620" w:firstLineChars="200"/>
        <w:jc w:val="both"/>
        <w:textAlignment w:val="baseline"/>
        <w:rPr>
          <w:rFonts w:ascii="微软雅黑" w:hAnsi="微软雅黑" w:eastAsia="微软雅黑" w:cs="微软雅黑"/>
          <w:color w:val="auto"/>
          <w:spacing w:val="0"/>
          <w:position w:val="0"/>
          <w:sz w:val="31"/>
          <w:szCs w:val="31"/>
        </w:rPr>
      </w:pPr>
      <w:r>
        <w:rPr>
          <w:rFonts w:ascii="微软雅黑" w:hAnsi="微软雅黑" w:eastAsia="微软雅黑" w:cs="微软雅黑"/>
          <w:color w:val="auto"/>
          <w:spacing w:val="0"/>
          <w:position w:val="0"/>
          <w:sz w:val="31"/>
          <w:szCs w:val="31"/>
        </w:rPr>
        <w:t>产业基础</w:t>
      </w:r>
    </w:p>
    <w:p w14:paraId="59A150D2">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461"/>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吉林梅花氨基酸有限责任公司坐落于吉林白城工业园区，承担建设年加工300万吨玉米，总投资100亿元的玉米精深加工产业化项目。是一家国际领先专注于利用生物发酵技术进行研发、生产、销售，产品涉及动物氨基酸、医用氨基酸及胶体多糖产品的生物科技公司，客户遍布全球100多个国家，是多家国内知名企业及跨国公司长期供应商和战略合作伙伴。</w:t>
      </w:r>
    </w:p>
    <w:p w14:paraId="18C1DBD6">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461"/>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白城地区是吉林省风能资源最具有开发潜力的地区，也是吉林省千万千瓦风电基地的重要组成部分，风电装机高度集中，现占全省风电装机三分之二左右，且具备大规模集群开发的条件。</w:t>
      </w:r>
    </w:p>
    <w:p w14:paraId="43DAB13D">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461"/>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白城市日照充足，在吉林省属太阳能光照一类地区，也是全省太阳能光伏产业发展重点地区，年日照时间达2900小时以上，开发前景十分可观。</w:t>
      </w:r>
    </w:p>
    <w:p w14:paraId="48BAA1CA">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9"/>
        <w:jc w:val="both"/>
        <w:textAlignment w:val="baseline"/>
        <w:rPr>
          <w:rFonts w:hint="eastAsia" w:ascii="宋体" w:hAnsi="宋体" w:eastAsia="宋体" w:cs="宋体"/>
          <w:snapToGrid w:val="0"/>
          <w:color w:val="000000"/>
          <w:kern w:val="0"/>
          <w:sz w:val="32"/>
          <w:szCs w:val="32"/>
          <w:lang w:val="en-US" w:eastAsia="zh-CN" w:bidi="ar"/>
        </w:rPr>
      </w:pPr>
      <w:r>
        <w:rPr>
          <w:rFonts w:hint="eastAsia" w:ascii="宋体" w:hAnsi="宋体" w:eastAsia="宋体" w:cs="宋体"/>
          <w:color w:val="auto"/>
          <w:spacing w:val="0"/>
          <w:position w:val="0"/>
          <w:sz w:val="32"/>
          <w:szCs w:val="32"/>
          <w:lang w:val="en-US" w:eastAsia="zh-CN"/>
        </w:rPr>
        <w:t>白城现有火力发电厂3座，截至2019年末，白城市火电总装机规模已达到 182.1 万千瓦。</w:t>
      </w:r>
    </w:p>
    <w:p w14:paraId="3E16FC05">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640" w:firstLineChars="200"/>
        <w:jc w:val="both"/>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rPr>
        <w:t>城市建设</w:t>
      </w:r>
    </w:p>
    <w:p w14:paraId="1740AB5F">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461"/>
        <w:jc w:val="both"/>
        <w:textAlignment w:val="baseline"/>
        <w:rPr>
          <w:rFonts w:hint="eastAsia" w:ascii="宋体" w:hAnsi="宋体" w:eastAsia="宋体" w:cs="宋体"/>
          <w:color w:val="auto"/>
          <w:spacing w:val="0"/>
          <w:position w:val="0"/>
          <w:sz w:val="32"/>
          <w:szCs w:val="32"/>
        </w:rPr>
      </w:pPr>
      <w:r>
        <w:rPr>
          <w:rFonts w:hint="eastAsia" w:ascii="宋体" w:hAnsi="宋体" w:eastAsia="宋体" w:cs="宋体"/>
          <w:color w:val="auto"/>
          <w:spacing w:val="0"/>
          <w:position w:val="0"/>
          <w:sz w:val="32"/>
          <w:szCs w:val="32"/>
          <w:lang w:val="en-US" w:eastAsia="zh-CN"/>
        </w:rPr>
        <w:t>吉林白城工业园区位于白城市区东南，于2005年初开发建设，2011年12月正式晋升为省级开发区。工业区面积 22 平方公里，生态新区面积 26.5 平方公里，园区现辖 2 个街道办事处，辖区人口在“十四五”期间可突破 10 万人。园区先后被国家农业部和省政府命名为“全国农产品加工示范基地”“国家农业产业化示范基地”“全省农产品加工示范区”和“国家双创示范基地产业双创示范园区”。</w:t>
      </w:r>
    </w:p>
    <w:p w14:paraId="0C1DD1E5">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640" w:firstLineChars="200"/>
        <w:jc w:val="both"/>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rPr>
        <w:t>物流交通</w:t>
      </w:r>
    </w:p>
    <w:p w14:paraId="6415E43F">
      <w:pPr>
        <w:keepNext w:val="0"/>
        <w:keepLines w:val="0"/>
        <w:pageBreakBefore w:val="0"/>
        <w:widowControl/>
        <w:kinsoku w:val="0"/>
        <w:wordWrap/>
        <w:overflowPunct/>
        <w:topLinePunct w:val="0"/>
        <w:autoSpaceDE w:val="0"/>
        <w:autoSpaceDN w:val="0"/>
        <w:bidi w:val="0"/>
        <w:adjustRightInd w:val="0"/>
        <w:snapToGrid w:val="0"/>
        <w:spacing w:before="0" w:after="0" w:line="540" w:lineRule="exact"/>
        <w:ind w:left="0" w:leftChars="0" w:right="0" w:rightChars="0" w:firstLine="461"/>
        <w:jc w:val="both"/>
        <w:textAlignment w:val="baseline"/>
        <w:rPr>
          <w:rFonts w:hint="eastAsia" w:ascii="宋体" w:hAnsi="宋体" w:eastAsia="宋体" w:cs="宋体"/>
          <w:color w:val="auto"/>
          <w:spacing w:val="0"/>
          <w:position w:val="0"/>
          <w:sz w:val="32"/>
          <w:szCs w:val="32"/>
          <w:lang w:val="en-US" w:eastAsia="zh-CN"/>
        </w:rPr>
      </w:pPr>
      <w:r>
        <w:rPr>
          <w:rFonts w:hint="eastAsia" w:ascii="仿宋" w:hAnsi="仿宋" w:eastAsia="仿宋" w:cs="仿宋"/>
          <w:color w:val="auto"/>
          <w:spacing w:val="0"/>
          <w:position w:val="0"/>
          <w:sz w:val="32"/>
          <w:szCs w:val="32"/>
          <w:lang w:val="en-US" w:eastAsia="zh-CN"/>
        </w:rPr>
        <w:t xml:space="preserve"> </w:t>
      </w:r>
      <w:r>
        <w:rPr>
          <w:rFonts w:hint="eastAsia" w:ascii="宋体" w:hAnsi="宋体" w:eastAsia="宋体" w:cs="宋体"/>
          <w:color w:val="auto"/>
          <w:spacing w:val="0"/>
          <w:position w:val="0"/>
          <w:sz w:val="32"/>
          <w:szCs w:val="32"/>
          <w:lang w:val="en-US" w:eastAsia="zh-CN"/>
        </w:rPr>
        <w:t>白城市是吉林、黑龙江和内蒙古自治区三省（区）交界处和周边二三百公里内一个较大的区域中心城市，也是黑龙江西南部和内蒙古东北部入关的必经之地。境内有四平至齐齐哈尔、长春至白城、通辽至让湖路、白城至阿尔山四条铁路贯通全市；公路方面境内有珲乌高速 、嫩丹高速 、图乌公路、长白公路等多条国省级公路；拥有吉林省最大的内河港口白城市大安港和总占地 26 万平方米内陆港；航空方面白城长安机场是东北地区综合主体交通网的重要组成，是吉林省“一主四辅”机场建设格局中的重要组成部分。</w:t>
      </w:r>
    </w:p>
    <w:p w14:paraId="48506281">
      <w:pPr>
        <w:bidi w:val="0"/>
        <w:rPr>
          <w:rFonts w:hint="eastAsia"/>
          <w:lang w:eastAsia="zh-CN"/>
        </w:rPr>
      </w:pPr>
    </w:p>
    <w:p w14:paraId="56483B93">
      <w:pPr>
        <w:bidi w:val="0"/>
        <w:rPr>
          <w:rFonts w:ascii="微软雅黑" w:hAnsi="微软雅黑" w:eastAsia="微软雅黑" w:cs="微软雅黑"/>
          <w:color w:val="auto"/>
          <w:spacing w:val="-15"/>
          <w:sz w:val="28"/>
          <w:szCs w:val="28"/>
        </w:rPr>
      </w:pPr>
      <w:r>
        <w:rPr>
          <w:rFonts w:ascii="微软雅黑" w:hAnsi="微软雅黑" w:eastAsia="微软雅黑" w:cs="微软雅黑"/>
          <w:color w:val="auto"/>
          <w:spacing w:val="-15"/>
          <w:sz w:val="28"/>
          <w:szCs w:val="28"/>
        </w:rPr>
        <w:t xml:space="preserve">  区位分析图</w:t>
      </w:r>
    </w:p>
    <w:p w14:paraId="4D07E0CE">
      <w:pPr>
        <w:bidi w:val="0"/>
        <w:rPr>
          <w:rFonts w:hint="eastAsia" w:ascii="微软雅黑" w:hAnsi="微软雅黑" w:eastAsia="微软雅黑" w:cs="微软雅黑"/>
          <w:color w:val="auto"/>
          <w:spacing w:val="-15"/>
          <w:sz w:val="28"/>
          <w:szCs w:val="28"/>
          <w:lang w:eastAsia="zh-CN"/>
        </w:rPr>
      </w:pPr>
      <w:r>
        <w:rPr>
          <w:rFonts w:hint="eastAsia" w:ascii="微软雅黑" w:hAnsi="微软雅黑" w:eastAsia="微软雅黑" w:cs="微软雅黑"/>
          <w:color w:val="auto"/>
          <w:spacing w:val="-15"/>
          <w:sz w:val="28"/>
          <w:szCs w:val="28"/>
          <w:lang w:eastAsia="zh-CN"/>
        </w:rPr>
        <w:drawing>
          <wp:inline distT="0" distB="0" distL="114300" distR="114300">
            <wp:extent cx="5472430" cy="6733540"/>
            <wp:effectExtent l="0" t="0" r="13970" b="1016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pic:cNvPicPr>
                  </pic:nvPicPr>
                  <pic:blipFill>
                    <a:blip r:embed="rId9"/>
                    <a:stretch>
                      <a:fillRect/>
                    </a:stretch>
                  </pic:blipFill>
                  <pic:spPr>
                    <a:xfrm>
                      <a:off x="0" y="0"/>
                      <a:ext cx="5472430" cy="6733540"/>
                    </a:xfrm>
                    <a:prstGeom prst="rect">
                      <a:avLst/>
                    </a:prstGeom>
                  </pic:spPr>
                </pic:pic>
              </a:graphicData>
            </a:graphic>
          </wp:inline>
        </w:drawing>
      </w:r>
    </w:p>
    <w:p w14:paraId="15C296F3">
      <w:pPr>
        <w:bidi w:val="0"/>
        <w:rPr>
          <w:rFonts w:hint="eastAsia"/>
          <w:lang w:eastAsia="zh-CN"/>
        </w:rPr>
      </w:pPr>
    </w:p>
    <w:p w14:paraId="7EA5C428">
      <w:pPr>
        <w:bidi w:val="0"/>
        <w:rPr>
          <w:rFonts w:hint="eastAsia"/>
          <w:lang w:eastAsia="zh-CN"/>
        </w:rPr>
      </w:pPr>
    </w:p>
    <w:p w14:paraId="3C862CBA">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rPr>
        <w:t>规划背景</w:t>
      </w:r>
    </w:p>
    <w:p w14:paraId="1C37B0A2">
      <w:pPr>
        <w:keepNext w:val="0"/>
        <w:keepLines w:val="0"/>
        <w:pageBreakBefore w:val="0"/>
        <w:widowControl/>
        <w:tabs>
          <w:tab w:val="left" w:pos="700"/>
        </w:tabs>
        <w:kinsoku w:val="0"/>
        <w:wordWrap/>
        <w:overflowPunct/>
        <w:topLinePunct w:val="0"/>
        <w:autoSpaceDE w:val="0"/>
        <w:autoSpaceDN w:val="0"/>
        <w:bidi w:val="0"/>
        <w:adjustRightInd w:val="0"/>
        <w:snapToGrid w:val="0"/>
        <w:spacing w:line="540" w:lineRule="exact"/>
        <w:ind w:left="0" w:leftChars="0" w:right="0" w:firstLine="555"/>
        <w:jc w:val="both"/>
        <w:textAlignment w:val="baseline"/>
        <w:rPr>
          <w:rFonts w:hint="eastAsia" w:ascii="宋体" w:hAnsi="宋体" w:eastAsia="宋体" w:cs="宋体"/>
          <w:color w:val="auto"/>
          <w:spacing w:val="0"/>
          <w:sz w:val="32"/>
          <w:szCs w:val="32"/>
        </w:rPr>
      </w:pPr>
      <w:r>
        <w:rPr>
          <w:rFonts w:hint="eastAsia" w:ascii="宋体" w:hAnsi="宋体" w:eastAsia="宋体" w:cs="宋体"/>
          <w:color w:val="auto"/>
          <w:spacing w:val="0"/>
          <w:sz w:val="32"/>
          <w:szCs w:val="32"/>
        </w:rPr>
        <w:t>2021年7月底中共吉林省委十一届九次全会召开。会议审议通 过《中共吉林省委关于全面实施“一主六双”高质量发展战略的决定》(以下简称《决定》) 。</w:t>
      </w:r>
    </w:p>
    <w:p w14:paraId="0A0F8AB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98"/>
        <w:jc w:val="both"/>
        <w:textAlignment w:val="baseline"/>
        <w:rPr>
          <w:rFonts w:hint="eastAsia" w:ascii="宋体" w:hAnsi="宋体" w:eastAsia="宋体" w:cs="宋体"/>
          <w:color w:val="auto"/>
          <w:spacing w:val="0"/>
          <w:sz w:val="32"/>
          <w:szCs w:val="32"/>
        </w:rPr>
      </w:pPr>
      <w:r>
        <w:rPr>
          <w:rFonts w:hint="eastAsia" w:ascii="宋体" w:hAnsi="宋体" w:eastAsia="宋体" w:cs="宋体"/>
          <w:color w:val="auto"/>
          <w:spacing w:val="0"/>
          <w:sz w:val="32"/>
          <w:szCs w:val="32"/>
        </w:rPr>
        <w:t>白城市位于“一主、六双”产业空间布局中的“双基地”上的西部国家级清洁能源基地的核心，依托白城丰富的风能、太阳能，大力发展风电、光伏发电。充分利用电力优势，发展以高新技术支撑的高 载能产业，重点建设储能产业和数据灾备基地。从吉林当前工作基础</w:t>
      </w:r>
      <w:r>
        <w:rPr>
          <w:rFonts w:hint="eastAsia" w:ascii="宋体" w:hAnsi="宋体" w:eastAsia="宋体" w:cs="宋体"/>
          <w:color w:val="auto"/>
          <w:spacing w:val="0"/>
          <w:sz w:val="32"/>
          <w:szCs w:val="32"/>
          <w:lang w:eastAsia="zh-CN"/>
        </w:rPr>
        <w:t>、</w:t>
      </w:r>
      <w:r>
        <w:rPr>
          <w:rFonts w:hint="eastAsia" w:ascii="宋体" w:hAnsi="宋体" w:eastAsia="宋体" w:cs="宋体"/>
          <w:color w:val="auto"/>
          <w:spacing w:val="0"/>
          <w:sz w:val="32"/>
          <w:szCs w:val="32"/>
        </w:rPr>
        <w:t>发展需求、支撑力量来看，白城市化工产业园的建设与发展正当其实。</w:t>
      </w:r>
    </w:p>
    <w:p w14:paraId="46369DD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国家化工产业政策</w:t>
      </w:r>
    </w:p>
    <w:p w14:paraId="4B84650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98"/>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国家发展改革委 2023 年 12 月修订发布了新版《产业结构调整指导目录（2024 年本）》。《产业结构调整指导目录》（以下简称《目录》）是引导社会投资方向、政府管理投资项目，制定实施财税、信贷、土地、进出口等政策的重要依据。</w:t>
      </w:r>
    </w:p>
    <w:p w14:paraId="157CEED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98"/>
        <w:jc w:val="both"/>
        <w:textAlignment w:val="baseline"/>
        <w:rPr>
          <w:rFonts w:hint="eastAsia" w:ascii="仿宋" w:hAnsi="仿宋" w:eastAsia="仿宋" w:cs="仿宋"/>
          <w:color w:val="auto"/>
          <w:spacing w:val="0"/>
          <w:sz w:val="32"/>
          <w:szCs w:val="32"/>
          <w:lang w:val="en-US" w:eastAsia="zh-CN"/>
        </w:rPr>
      </w:pPr>
      <w:r>
        <w:rPr>
          <w:rFonts w:hint="eastAsia" w:ascii="宋体" w:hAnsi="宋体" w:eastAsia="宋体" w:cs="宋体"/>
          <w:color w:val="auto"/>
          <w:spacing w:val="0"/>
          <w:sz w:val="32"/>
          <w:szCs w:val="32"/>
          <w:lang w:val="en-US" w:eastAsia="zh-CN"/>
        </w:rPr>
        <w:t>白城市化工产业发展是在循环经济理念和国家产业政策的指导下，依托于白城市本地资源的基础，重点发展氢能化工、生物化工、精细化工及化工新材料四大产业领域，继续保持赖氨酸等生物化工在全球的优势地位的同时，提高精细化工产业集中度，大力发展氢能化工和生物化工产业，着力构建深加工产业链，提升白城市化学工业的整体规模和技术水平，提高在全省化工产业中的比重，成为吉林省重要的生物化工和氢能化工产业基地。</w:t>
      </w:r>
    </w:p>
    <w:p w14:paraId="272FC7E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328" w:firstLineChars="100"/>
        <w:jc w:val="both"/>
        <w:textAlignment w:val="baseline"/>
        <w:rPr>
          <w:rFonts w:hint="eastAsia" w:ascii="黑体" w:hAnsi="黑体" w:eastAsia="黑体" w:cs="黑体"/>
          <w:color w:val="auto"/>
          <w:sz w:val="31"/>
          <w:szCs w:val="31"/>
        </w:rPr>
      </w:pPr>
      <w:r>
        <w:rPr>
          <w:rFonts w:hint="eastAsia" w:ascii="黑体" w:hAnsi="黑体" w:eastAsia="黑体" w:cs="黑体"/>
          <w:color w:val="auto"/>
          <w:spacing w:val="9"/>
          <w:sz w:val="31"/>
          <w:szCs w:val="31"/>
        </w:rPr>
        <w:t>“三线一单”生态环境分区管控要求</w:t>
      </w:r>
    </w:p>
    <w:p w14:paraId="5200120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98"/>
        <w:jc w:val="both"/>
        <w:textAlignment w:val="baseline"/>
        <w:rPr>
          <w:rFonts w:hint="eastAsia" w:ascii="宋体" w:hAnsi="宋体" w:eastAsia="宋体" w:cs="宋体"/>
          <w:color w:val="auto"/>
          <w:spacing w:val="0"/>
          <w:sz w:val="32"/>
          <w:szCs w:val="32"/>
          <w:lang w:val="en-US" w:eastAsia="zh-CN"/>
        </w:rPr>
      </w:pPr>
      <w:bookmarkStart w:id="0" w:name="_bookmark16"/>
      <w:bookmarkEnd w:id="0"/>
      <w:bookmarkStart w:id="1" w:name="_bookmark15"/>
      <w:bookmarkEnd w:id="1"/>
      <w:bookmarkStart w:id="2" w:name="_bookmark17"/>
      <w:bookmarkEnd w:id="2"/>
      <w:bookmarkStart w:id="3" w:name="_bookmark18"/>
      <w:bookmarkEnd w:id="3"/>
      <w:r>
        <w:rPr>
          <w:rFonts w:hint="eastAsia" w:ascii="宋体" w:hAnsi="宋体" w:eastAsia="宋体" w:cs="宋体"/>
          <w:color w:val="auto"/>
          <w:spacing w:val="0"/>
          <w:sz w:val="32"/>
          <w:szCs w:val="32"/>
          <w:lang w:val="en-US" w:eastAsia="zh-CN"/>
        </w:rPr>
        <w:t>白城市“三线一单”成果提炼细化工作在全省环境管控单元划定结果和生态环境分区管控的总体要求框架下，充分结合全市各省级经济开发区（工业集中区）、各级各类自然保护区、城镇开发边界等实际情况，提炼细化形成了我市“三线一单”生态环境分区管控成果；在不突破全省和重点区域、流域总体准入要求下，充分衔接白城市“十四五”规划和国家最新政策要求，重点对省级经济开发区（工业集中区）环境管控要求细化，形成省级经济开发区（工业集中区）生态环境准入清单和白城市生态环境准入清单。</w:t>
      </w:r>
    </w:p>
    <w:p w14:paraId="6A0E3EA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spacing w:val="0"/>
          <w:sz w:val="32"/>
          <w:szCs w:val="32"/>
        </w:rPr>
      </w:pPr>
      <w:r>
        <w:rPr>
          <w:rFonts w:hint="eastAsia" w:ascii="黑体" w:hAnsi="黑体" w:eastAsia="黑体" w:cs="黑体"/>
          <w:spacing w:val="0"/>
          <w:sz w:val="32"/>
          <w:szCs w:val="32"/>
        </w:rPr>
        <w:t>化工产业发展规划要求</w:t>
      </w:r>
    </w:p>
    <w:p w14:paraId="3F06D3E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59"/>
        <w:jc w:val="both"/>
        <w:textAlignment w:val="baseline"/>
        <w:rPr>
          <w:rFonts w:hint="eastAsia" w:ascii="宋体" w:hAnsi="宋体" w:eastAsia="宋体" w:cs="宋体"/>
          <w:spacing w:val="0"/>
          <w:sz w:val="32"/>
          <w:szCs w:val="32"/>
        </w:rPr>
      </w:pPr>
      <w:r>
        <w:rPr>
          <w:rFonts w:hint="eastAsia" w:ascii="宋体" w:hAnsi="宋体" w:eastAsia="宋体" w:cs="宋体"/>
          <w:spacing w:val="0"/>
          <w:sz w:val="32"/>
          <w:szCs w:val="32"/>
        </w:rPr>
        <w:t>《吉林省工业发展“十四五”规划》提出了汽车产业、食品产业、石化产业、装备产业、医药产业、冶金建材产业、光电信息产业、轻工纺织产业、能源产业九大重点发展产业。</w:t>
      </w:r>
    </w:p>
    <w:p w14:paraId="1EF774D7">
      <w:pPr>
        <w:keepNext w:val="0"/>
        <w:keepLines w:val="0"/>
        <w:pageBreakBefore w:val="0"/>
        <w:widowControl/>
        <w:tabs>
          <w:tab w:val="left" w:pos="980"/>
        </w:tabs>
        <w:kinsoku w:val="0"/>
        <w:wordWrap/>
        <w:overflowPunct/>
        <w:topLinePunct w:val="0"/>
        <w:autoSpaceDE w:val="0"/>
        <w:autoSpaceDN w:val="0"/>
        <w:bidi w:val="0"/>
        <w:adjustRightInd w:val="0"/>
        <w:snapToGrid w:val="0"/>
        <w:spacing w:line="540" w:lineRule="exact"/>
        <w:ind w:right="0" w:firstLine="640" w:firstLineChars="200"/>
        <w:jc w:val="both"/>
        <w:textAlignment w:val="baseline"/>
        <w:rPr>
          <w:rFonts w:hint="eastAsia" w:ascii="微软雅黑" w:hAnsi="微软雅黑" w:eastAsia="微软雅黑" w:cs="微软雅黑"/>
          <w:color w:val="auto"/>
          <w:spacing w:val="0"/>
          <w:sz w:val="32"/>
          <w:szCs w:val="32"/>
        </w:rPr>
      </w:pPr>
      <w:r>
        <w:rPr>
          <w:rFonts w:hint="eastAsia" w:ascii="黑体" w:hAnsi="黑体" w:eastAsia="黑体" w:cs="黑体"/>
          <w:color w:val="auto"/>
          <w:spacing w:val="0"/>
          <w:sz w:val="32"/>
          <w:szCs w:val="32"/>
        </w:rPr>
        <w:t>规划意义</w:t>
      </w:r>
    </w:p>
    <w:p w14:paraId="4662DCF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59"/>
        <w:jc w:val="both"/>
        <w:textAlignment w:val="baseline"/>
        <w:rPr>
          <w:rFonts w:hint="eastAsia" w:ascii="仿宋" w:hAnsi="仿宋" w:eastAsia="仿宋" w:cs="仿宋"/>
          <w:spacing w:val="0"/>
          <w:sz w:val="32"/>
          <w:szCs w:val="32"/>
        </w:rPr>
      </w:pPr>
      <w:r>
        <w:rPr>
          <w:rFonts w:hint="eastAsia" w:ascii="宋体" w:hAnsi="宋体" w:eastAsia="宋体" w:cs="宋体"/>
          <w:spacing w:val="0"/>
          <w:sz w:val="32"/>
          <w:szCs w:val="32"/>
        </w:rPr>
        <w:t>白城市化工产业园作为白城市化工产业发展的重要载体，承担着全市化工企业入园发展的重要任务，也承担着白城市产业发展和优化升级的历史使命。规划通过对行业发展形势和园区资源特点的分析，研究白城市化工产业发展的机会和优势条件，确定发展的定位和方向，理清未来发展的思路和产业结构关系，设计重点发展的产业链和项目，促进产业的规范、绿色、高质量发展。</w:t>
      </w:r>
    </w:p>
    <w:p w14:paraId="4CA69BD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rPr>
        <w:t>规划范围与期限</w:t>
      </w:r>
    </w:p>
    <w:p w14:paraId="04ADFAAD">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7"/>
        <w:jc w:val="both"/>
        <w:textAlignment w:val="baseline"/>
        <w:rPr>
          <w:rFonts w:hint="eastAsia" w:ascii="宋体" w:hAnsi="宋体" w:eastAsia="宋体" w:cs="宋体"/>
          <w:color w:val="auto"/>
          <w:spacing w:val="0"/>
          <w:sz w:val="32"/>
          <w:szCs w:val="32"/>
        </w:rPr>
      </w:pPr>
      <w:r>
        <w:rPr>
          <w:rFonts w:hint="eastAsia" w:ascii="宋体" w:hAnsi="宋体" w:eastAsia="宋体" w:cs="宋体"/>
          <w:color w:val="auto"/>
          <w:spacing w:val="0"/>
          <w:sz w:val="32"/>
          <w:szCs w:val="32"/>
        </w:rPr>
        <w:t>本次规划</w:t>
      </w:r>
      <w:r>
        <w:rPr>
          <w:rFonts w:hint="eastAsia" w:ascii="宋体" w:hAnsi="宋体" w:eastAsia="宋体" w:cs="宋体"/>
          <w:color w:val="auto"/>
          <w:spacing w:val="0"/>
          <w:position w:val="0"/>
          <w:sz w:val="32"/>
          <w:szCs w:val="32"/>
          <w:lang w:val="en-US" w:eastAsia="zh-CN"/>
        </w:rPr>
        <w:t>四至范围东至 302 国道以西，西至珲乌高速公路以东，南至长白铁路以北，北至珠江路，</w:t>
      </w:r>
      <w:r>
        <w:rPr>
          <w:rFonts w:hint="eastAsia" w:ascii="宋体" w:hAnsi="宋体" w:eastAsia="宋体" w:cs="宋体"/>
          <w:color w:val="auto"/>
          <w:spacing w:val="0"/>
          <w:sz w:val="32"/>
          <w:szCs w:val="32"/>
        </w:rPr>
        <w:t>规划总面积约 4.</w:t>
      </w:r>
      <w:r>
        <w:rPr>
          <w:rFonts w:hint="eastAsia" w:ascii="宋体" w:hAnsi="宋体" w:eastAsia="宋体" w:cs="宋体"/>
          <w:color w:val="auto"/>
          <w:spacing w:val="0"/>
          <w:sz w:val="32"/>
          <w:szCs w:val="32"/>
          <w:lang w:val="en-US" w:eastAsia="zh-CN"/>
        </w:rPr>
        <w:t>58</w:t>
      </w:r>
      <w:r>
        <w:rPr>
          <w:rFonts w:hint="eastAsia" w:ascii="宋体" w:hAnsi="宋体" w:eastAsia="宋体" w:cs="宋体"/>
          <w:color w:val="auto"/>
          <w:spacing w:val="0"/>
          <w:sz w:val="32"/>
          <w:szCs w:val="32"/>
        </w:rPr>
        <w:t xml:space="preserve"> 平方公里。时限为 202</w:t>
      </w:r>
      <w:r>
        <w:rPr>
          <w:rFonts w:hint="eastAsia" w:ascii="宋体" w:hAnsi="宋体" w:eastAsia="宋体" w:cs="宋体"/>
          <w:color w:val="auto"/>
          <w:spacing w:val="0"/>
          <w:sz w:val="32"/>
          <w:szCs w:val="32"/>
          <w:lang w:val="en-US" w:eastAsia="zh-CN"/>
        </w:rPr>
        <w:t>4</w:t>
      </w:r>
      <w:r>
        <w:rPr>
          <w:rFonts w:hint="eastAsia" w:ascii="宋体" w:hAnsi="宋体" w:eastAsia="宋体" w:cs="宋体"/>
          <w:color w:val="auto"/>
          <w:spacing w:val="0"/>
          <w:sz w:val="32"/>
          <w:szCs w:val="32"/>
        </w:rPr>
        <w:t>—2035 年。</w:t>
      </w:r>
    </w:p>
    <w:p w14:paraId="0E4DF0A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lang w:val="en-US" w:eastAsia="zh-CN"/>
        </w:rPr>
      </w:pPr>
      <w:r>
        <w:rPr>
          <w:rFonts w:hint="eastAsia" w:ascii="黑体" w:hAnsi="黑体" w:eastAsia="黑体" w:cs="黑体"/>
          <w:color w:val="auto"/>
          <w:spacing w:val="0"/>
          <w:position w:val="0"/>
          <w:sz w:val="32"/>
          <w:szCs w:val="32"/>
          <w:lang w:val="en-US" w:eastAsia="zh-CN"/>
        </w:rPr>
        <w:t>规划指导思想</w:t>
      </w:r>
    </w:p>
    <w:p w14:paraId="35BF0951">
      <w:pPr>
        <w:keepNext w:val="0"/>
        <w:keepLines w:val="0"/>
        <w:pageBreakBefore w:val="0"/>
        <w:widowControl/>
        <w:kinsoku w:val="0"/>
        <w:wordWrap/>
        <w:overflowPunct/>
        <w:topLinePunct w:val="0"/>
        <w:autoSpaceDE w:val="0"/>
        <w:autoSpaceDN w:val="0"/>
        <w:bidi w:val="0"/>
        <w:adjustRightInd w:val="0"/>
        <w:snapToGrid w:val="0"/>
        <w:spacing w:line="540" w:lineRule="exact"/>
        <w:ind w:left="0" w:right="0" w:firstLine="567"/>
        <w:jc w:val="both"/>
        <w:textAlignment w:val="baseline"/>
        <w:rPr>
          <w:rFonts w:hint="eastAsia" w:ascii="宋体" w:hAnsi="宋体" w:eastAsia="宋体" w:cs="宋体"/>
          <w:color w:val="auto"/>
          <w:spacing w:val="0"/>
          <w:sz w:val="32"/>
          <w:szCs w:val="32"/>
        </w:rPr>
      </w:pPr>
      <w:r>
        <w:rPr>
          <w:rFonts w:hint="eastAsia" w:ascii="宋体" w:hAnsi="宋体" w:eastAsia="宋体" w:cs="宋体"/>
          <w:color w:val="auto"/>
          <w:spacing w:val="0"/>
          <w:sz w:val="32"/>
          <w:szCs w:val="32"/>
          <w:lang w:val="en-US" w:eastAsia="zh-CN"/>
        </w:rPr>
        <w:t>严格控制过剩产能；统筹优化产业布局；鼓励利用先进技术；促进安全绿色发展；健全完善创新体系；加强国际产能合作；确定园区发展思路；严格落实产业政策。</w:t>
      </w:r>
    </w:p>
    <w:p w14:paraId="419AD5F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position w:val="0"/>
          <w:sz w:val="32"/>
          <w:szCs w:val="32"/>
        </w:rPr>
      </w:pPr>
      <w:r>
        <w:rPr>
          <w:rFonts w:hint="eastAsia" w:ascii="黑体" w:hAnsi="黑体" w:eastAsia="黑体" w:cs="黑体"/>
          <w:color w:val="auto"/>
          <w:spacing w:val="0"/>
          <w:position w:val="0"/>
          <w:sz w:val="32"/>
          <w:szCs w:val="32"/>
        </w:rPr>
        <w:t>规划基本原则</w:t>
      </w:r>
    </w:p>
    <w:p w14:paraId="5013DD1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rPr>
      </w:pPr>
      <w:bookmarkStart w:id="4" w:name="_bookmark21"/>
      <w:bookmarkEnd w:id="4"/>
      <w:r>
        <w:rPr>
          <w:rFonts w:hint="eastAsia" w:ascii="宋体" w:hAnsi="宋体" w:eastAsia="宋体" w:cs="宋体"/>
          <w:color w:val="auto"/>
          <w:spacing w:val="0"/>
          <w:position w:val="0"/>
          <w:sz w:val="32"/>
          <w:szCs w:val="32"/>
          <w:lang w:val="en-US" w:eastAsia="zh-CN"/>
        </w:rPr>
        <w:t>依法建设，依规管理；科学规划，合理布局；集聚集约，特色凸显；安全环保，绿色发展；配套完善，智能管理。</w:t>
      </w:r>
    </w:p>
    <w:p w14:paraId="0DBBA21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644" w:firstLineChars="200"/>
        <w:jc w:val="both"/>
        <w:textAlignment w:val="baseline"/>
        <w:rPr>
          <w:rFonts w:ascii="微软雅黑" w:hAnsi="微软雅黑" w:eastAsia="微软雅黑" w:cs="微软雅黑"/>
          <w:spacing w:val="6"/>
          <w:sz w:val="31"/>
          <w:szCs w:val="31"/>
        </w:rPr>
      </w:pPr>
      <w:r>
        <w:rPr>
          <w:rFonts w:ascii="微软雅黑" w:hAnsi="微软雅黑" w:eastAsia="微软雅黑" w:cs="微软雅黑"/>
          <w:spacing w:val="6"/>
          <w:sz w:val="31"/>
          <w:szCs w:val="31"/>
        </w:rPr>
        <w:t>规划依据</w:t>
      </w:r>
    </w:p>
    <w:p w14:paraId="122FFEC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1.工业和信息化部关于促进化工园区规范发展的指导意见（工信部原〔2015〕433 号）； </w:t>
      </w:r>
    </w:p>
    <w:p w14:paraId="5202F4C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2.国务院办公厅关于石化产业调结构促转型增效益的指导意见（国办发〔2016〕57 号）； </w:t>
      </w:r>
    </w:p>
    <w:p w14:paraId="313D1DA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3.《战略性新兴产业重点产品和服务指导目录》； </w:t>
      </w:r>
    </w:p>
    <w:p w14:paraId="478D39C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4.国务院办公厅关于推进城镇人口密集区危险化学品生产企业搬迁改造的指导意见（国办发〔2017〕77 号）； </w:t>
      </w:r>
    </w:p>
    <w:p w14:paraId="0D08564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5.国家发展改革委 工业和信息化部关于促进石化产业绿色发展的指导意见（发改产业〔2017〕2105 号）； </w:t>
      </w:r>
    </w:p>
    <w:p w14:paraId="73FD4CA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6.国家发展改革委 工业和信息化部关于印发《石化产业规划布局方案（修订版）》的通知（发改产业〔2018〕1134 号）； </w:t>
      </w:r>
    </w:p>
    <w:p w14:paraId="0B6D19D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7.国家发展改革委 工业和信息化部关于做好《石化产业规划布局方案（修订版）》贯彻落实工作的通知（发改产业〔2018〕1398 号）； </w:t>
      </w:r>
    </w:p>
    <w:p w14:paraId="2D10027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8.国家发展改革委、商务部《鼓励外商投资产业目录（2022 年版）》； </w:t>
      </w:r>
    </w:p>
    <w:p w14:paraId="5A9E9A7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9.《绿色产业指导目录》； </w:t>
      </w:r>
    </w:p>
    <w:p w14:paraId="29650EB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10.中央办公厅 国务院办公厅《关于全面加强危险化学品安全生产工作的意见》（厅字〔2020〕3 号）； </w:t>
      </w:r>
    </w:p>
    <w:p w14:paraId="241D5B9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11.国家发展改革委《产业结构调整指导目录（2024 年本）》； </w:t>
      </w:r>
    </w:p>
    <w:p w14:paraId="48EA212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12.国务院《关于加快建立健全绿色低碳循环发展经济体系的指导意见》（国发〔2021〕4 号）； </w:t>
      </w:r>
    </w:p>
    <w:p w14:paraId="2A3F0BE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13.中共中央、国务院《关于完整准确全面贯彻新发展理念做好碳达峰碳中和工作的意见》（中发〔2021〕36 号）； </w:t>
      </w:r>
    </w:p>
    <w:p w14:paraId="30B78E0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14.国务院办公厅《关于印发强化危险废物监管和利用处置能力改革实施方案的通知》（国办函〔2021〕47 号）； </w:t>
      </w:r>
    </w:p>
    <w:p w14:paraId="0812AAC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15.《“十四五”原材料工业发展规划》（工信部联规〔2021〕212号）； </w:t>
      </w:r>
    </w:p>
    <w:p w14:paraId="3CBF820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16.工业和信息化部 自然资源部 生态环境部 住房和城乡建设部交通运输部 应急管理部《关于印发化工园区建设标准和认定管理办法（试行）》的通知（工信部联原〔2021〕220 号） </w:t>
      </w:r>
    </w:p>
    <w:p w14:paraId="17C9F45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17.《绿色化工园区评价导则》（HG/T 5096-2021） </w:t>
      </w:r>
    </w:p>
    <w:p w14:paraId="019A2AE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18.《市场准入负面清单》； </w:t>
      </w:r>
    </w:p>
    <w:p w14:paraId="46C9570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19.《化工园区安全风险排查治理导则》（应急〔2023〕123 号）； </w:t>
      </w:r>
    </w:p>
    <w:p w14:paraId="30C867A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20.工业和信息化部等九部门《关于印发原材料工业数字化转型工作方案（2024—2026 年）》的通知（工信部联原〔2023〕270 号）； </w:t>
      </w:r>
    </w:p>
    <w:p w14:paraId="16E87414">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21.工业和信息化部 国家发展改革委关于印发《制造业中试创新发展实施意见》的通知（工信部联科〔2024〕11 号）； </w:t>
      </w:r>
    </w:p>
    <w:p w14:paraId="59C62939">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22.工业和信息化部等九部门《关于印发《精细化工产业创新发展实施方案（2024—2027 年）》的通知（工信部联原〔2024〕136 号）；</w:t>
      </w:r>
    </w:p>
    <w:p w14:paraId="5612A18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23.《吉林省人民政府关于实施“三线一单”生态环境分区管控的意见》（吉政函〔2020〕101 号）； </w:t>
      </w:r>
    </w:p>
    <w:p w14:paraId="025A801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24.《吉林省国民经济和社会发展第十四个五年规划和二〇三五年远景目标纲要》（吉政发〔2021〕7 号）； </w:t>
      </w:r>
    </w:p>
    <w:p w14:paraId="6359DF9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25.《吉林省石化产业发展“十四五”规划（吉工信规划〔2021〕293号）； </w:t>
      </w:r>
    </w:p>
    <w:p w14:paraId="4ADE1B09">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26.《吉林省化工园区认定管理实施细则（试行）》（吉工信办联〔2022〕28 号）； </w:t>
      </w:r>
    </w:p>
    <w:p w14:paraId="4F5262F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27.《石油和化学工业“十四五”发展指南及二〇三五年远景目标》； </w:t>
      </w:r>
    </w:p>
    <w:p w14:paraId="300676C2">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28.《化工园区“十四五”规划指南及 2035 中长期发展展望》； </w:t>
      </w:r>
    </w:p>
    <w:p w14:paraId="59283BB8">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29.《中共吉林省委关于全面实施“一主六双”高质量发展战略的决定》； </w:t>
      </w:r>
    </w:p>
    <w:p w14:paraId="0554763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30.“氢动吉林”中长期发展规划（2021—2035 年）； </w:t>
      </w:r>
    </w:p>
    <w:p w14:paraId="0C4325B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31.《吉林省人民政府办公厅关于印发加快吉林省新能源产业“绿电十消纳”试点创建实施方案(试行)的通知》（吉政办发〔2023〕19 号）； </w:t>
      </w:r>
    </w:p>
    <w:p w14:paraId="213C7AA8">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32.《吉林省人民政府办公厅关于印发加快吉林省新能源产业“绿电十消纳”试点创建实施方案(试行)的通知》（吉政办发〔2023〕19 号）； </w:t>
      </w:r>
    </w:p>
    <w:p w14:paraId="12B89259">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33.《吉林省人民政府办公厅关于印发新材料产业高质量发展行动方案(2023-2025 年)的通知（吉政办发〔2023]33 号）； </w:t>
      </w:r>
    </w:p>
    <w:p w14:paraId="27CD353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34.《吉林省人民政府办公厅印发关于促进吉林省新能源产业加快发展若干措施的通知》吉政办发〔2024〕1 号； </w:t>
      </w:r>
    </w:p>
    <w:p w14:paraId="51614D1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35.《白城市化工园区总体规划（2024—2035 年）》； </w:t>
      </w:r>
    </w:p>
    <w:p w14:paraId="1D9325C2">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 xml:space="preserve">36.《白城市化工产业发展规划（2020—2035 年）》； </w:t>
      </w:r>
    </w:p>
    <w:p w14:paraId="7C9B66A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spacing w:val="6"/>
          <w:sz w:val="32"/>
          <w:szCs w:val="32"/>
        </w:rPr>
      </w:pPr>
      <w:r>
        <w:rPr>
          <w:rFonts w:hint="eastAsia" w:ascii="宋体" w:hAnsi="宋体" w:eastAsia="宋体" w:cs="宋体"/>
          <w:color w:val="auto"/>
          <w:spacing w:val="0"/>
          <w:position w:val="0"/>
          <w:sz w:val="32"/>
          <w:szCs w:val="32"/>
          <w:lang w:val="en-US" w:eastAsia="zh-CN"/>
        </w:rPr>
        <w:t>37.国家及地方各级政府其他相关法律法规、文件及标准规范。</w:t>
      </w:r>
    </w:p>
    <w:p w14:paraId="7ED6936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680" w:firstLineChars="200"/>
        <w:jc w:val="both"/>
        <w:textAlignment w:val="baseline"/>
        <w:rPr>
          <w:rFonts w:hint="eastAsia" w:ascii="黑体" w:hAnsi="黑体" w:eastAsia="黑体" w:cs="黑体"/>
          <w:spacing w:val="10"/>
          <w:sz w:val="32"/>
          <w:szCs w:val="32"/>
        </w:rPr>
      </w:pPr>
      <w:r>
        <w:rPr>
          <w:rFonts w:hint="eastAsia" w:ascii="黑体" w:hAnsi="黑体" w:eastAsia="黑体" w:cs="黑体"/>
          <w:spacing w:val="10"/>
          <w:sz w:val="32"/>
          <w:szCs w:val="32"/>
        </w:rPr>
        <w:t xml:space="preserve">园区 </w:t>
      </w:r>
      <w:r>
        <w:rPr>
          <w:rFonts w:hint="eastAsia" w:ascii="黑体" w:hAnsi="黑体" w:eastAsia="黑体" w:cs="黑体"/>
          <w:b/>
          <w:bCs/>
          <w:sz w:val="32"/>
          <w:szCs w:val="32"/>
        </w:rPr>
        <w:t>SWOT</w:t>
      </w:r>
      <w:r>
        <w:rPr>
          <w:rFonts w:hint="eastAsia" w:ascii="黑体" w:hAnsi="黑体" w:eastAsia="黑体" w:cs="黑体"/>
          <w:spacing w:val="10"/>
          <w:sz w:val="32"/>
          <w:szCs w:val="32"/>
        </w:rPr>
        <w:t xml:space="preserve"> 分析及产业定位</w:t>
      </w:r>
    </w:p>
    <w:p w14:paraId="68FF96DA">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spacing w:val="10"/>
          <w:sz w:val="32"/>
          <w:szCs w:val="32"/>
        </w:rPr>
      </w:pPr>
      <w:r>
        <w:rPr>
          <w:rFonts w:hint="eastAsia" w:ascii="宋体" w:hAnsi="宋体" w:eastAsia="宋体" w:cs="宋体"/>
          <w:color w:val="auto"/>
          <w:spacing w:val="0"/>
          <w:position w:val="0"/>
          <w:sz w:val="32"/>
          <w:szCs w:val="32"/>
          <w:lang w:val="en-US" w:eastAsia="zh-CN"/>
        </w:rPr>
        <w:t>白城市水资源、风力资源、土壤资源、太阳能光热资源和农业资源丰富。利用白城市地处三省交会的区位优势和玉米等资源优势做大做强以氨基酸及其下游产品为主导的玉米深加工产业，利用白城市丰富的廉价的风力、光伏等电力资源优势大力发展绿氢化工及新材料化工，抓住中国大力发展化工产业的难得历史机遇，弥补劣势和不足，迎接挑战，园区发展必然进入发展的快车道，园区的经济腾飞指日可待。</w:t>
      </w:r>
    </w:p>
    <w:p w14:paraId="2739B22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position w:val="0"/>
          <w:sz w:val="32"/>
          <w:szCs w:val="32"/>
        </w:rPr>
      </w:pPr>
      <w:r>
        <w:rPr>
          <w:rFonts w:hint="eastAsia" w:ascii="黑体" w:hAnsi="黑体" w:eastAsia="黑体" w:cs="黑体"/>
          <w:color w:val="auto"/>
          <w:spacing w:val="0"/>
          <w:position w:val="0"/>
          <w:sz w:val="32"/>
          <w:szCs w:val="32"/>
        </w:rPr>
        <w:t>发展战略选择</w:t>
      </w:r>
    </w:p>
    <w:p w14:paraId="33CF810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75"/>
        <w:jc w:val="both"/>
        <w:textAlignment w:val="baseline"/>
        <w:rPr>
          <w:rFonts w:hint="eastAsia" w:ascii="宋体" w:hAnsi="宋体" w:eastAsia="宋体" w:cs="宋体"/>
          <w:color w:val="auto"/>
          <w:spacing w:val="0"/>
          <w:position w:val="0"/>
          <w:sz w:val="32"/>
          <w:szCs w:val="32"/>
        </w:rPr>
      </w:pPr>
      <w:r>
        <w:rPr>
          <w:rFonts w:hint="eastAsia" w:ascii="宋体" w:hAnsi="宋体" w:eastAsia="宋体" w:cs="宋体"/>
          <w:color w:val="auto"/>
          <w:spacing w:val="0"/>
          <w:position w:val="0"/>
          <w:sz w:val="32"/>
          <w:szCs w:val="32"/>
        </w:rPr>
        <w:t>抓住我国化工产业转型升级机会和国家振兴老东北工业基地契机，发挥已有梅花生物氨基酸产业基础和相关合作资源优势，吸引外来投资，扩大化工园区产业规模</w:t>
      </w:r>
      <w:r>
        <w:rPr>
          <w:rFonts w:hint="eastAsia" w:ascii="宋体" w:hAnsi="宋体" w:eastAsia="宋体" w:cs="宋体"/>
          <w:color w:val="auto"/>
          <w:spacing w:val="0"/>
          <w:position w:val="0"/>
          <w:sz w:val="32"/>
          <w:szCs w:val="32"/>
          <w:lang w:eastAsia="zh-CN"/>
        </w:rPr>
        <w:t>，</w:t>
      </w:r>
      <w:r>
        <w:rPr>
          <w:rFonts w:hint="eastAsia" w:ascii="宋体" w:hAnsi="宋体" w:eastAsia="宋体" w:cs="宋体"/>
          <w:color w:val="auto"/>
          <w:spacing w:val="0"/>
          <w:position w:val="0"/>
          <w:sz w:val="32"/>
          <w:szCs w:val="32"/>
        </w:rPr>
        <w:t>提升园区产业质量。充分利于地理优势，对接周边产业特点及白城市整体产业发展规划，发展相配套的氨基酸等化工产业链。对接战略新兴产业需求，布局和发展以科技创新为主要驱动力的高端项目，为白城市化工园区的化工产业长期发展提供持续动力。</w:t>
      </w:r>
    </w:p>
    <w:p w14:paraId="34BB1C8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jc w:val="both"/>
        <w:textAlignment w:val="baseline"/>
        <w:rPr>
          <w:rFonts w:hint="eastAsia" w:ascii="黑体" w:hAnsi="黑体" w:eastAsia="黑体" w:cs="黑体"/>
          <w:color w:val="auto"/>
          <w:spacing w:val="0"/>
          <w:position w:val="0"/>
          <w:sz w:val="32"/>
          <w:szCs w:val="32"/>
        </w:rPr>
      </w:pPr>
      <w:r>
        <w:rPr>
          <w:rFonts w:hint="eastAsia" w:ascii="仿宋" w:hAnsi="仿宋" w:eastAsia="仿宋" w:cs="仿宋"/>
          <w:b/>
          <w:bCs/>
          <w:color w:val="auto"/>
          <w:spacing w:val="0"/>
          <w:position w:val="0"/>
          <w:sz w:val="32"/>
          <w:szCs w:val="32"/>
          <w:lang w:val="en-US" w:eastAsia="zh-CN"/>
        </w:rPr>
        <w:t xml:space="preserve">   </w:t>
      </w:r>
      <w:r>
        <w:rPr>
          <w:rFonts w:hint="eastAsia" w:ascii="黑体" w:hAnsi="黑体" w:eastAsia="黑体" w:cs="黑体"/>
          <w:color w:val="auto"/>
          <w:spacing w:val="0"/>
          <w:position w:val="0"/>
          <w:sz w:val="32"/>
          <w:szCs w:val="32"/>
        </w:rPr>
        <w:t xml:space="preserve"> 园区产业定位</w:t>
      </w:r>
    </w:p>
    <w:p w14:paraId="0386BFD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75"/>
        <w:jc w:val="both"/>
        <w:textAlignment w:val="baseline"/>
        <w:rPr>
          <w:rFonts w:hint="eastAsia" w:ascii="宋体" w:hAnsi="宋体" w:eastAsia="宋体" w:cs="宋体"/>
          <w:color w:val="auto"/>
          <w:spacing w:val="0"/>
          <w:position w:val="0"/>
          <w:sz w:val="32"/>
          <w:szCs w:val="32"/>
        </w:rPr>
      </w:pPr>
      <w:r>
        <w:rPr>
          <w:rFonts w:hint="eastAsia" w:ascii="宋体" w:hAnsi="宋体" w:eastAsia="宋体" w:cs="宋体"/>
          <w:color w:val="auto"/>
          <w:spacing w:val="0"/>
          <w:position w:val="0"/>
          <w:sz w:val="32"/>
          <w:szCs w:val="32"/>
          <w:lang w:val="en-US" w:eastAsia="zh-CN"/>
        </w:rPr>
        <w:t>依托区域资源优势及吉林梅花氨基酸有限责任公司——全球最大的氨基酸生产基地，发展以氨基酸系列产品生产为主的生物化工特色产业，以绿色氢氨醇一体化为主的绿氢化工产业，同时兼具精细化工产业的化工园区。</w:t>
      </w:r>
    </w:p>
    <w:p w14:paraId="7A30A59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rPr>
        <w:t>园区产业发展思路</w:t>
      </w:r>
    </w:p>
    <w:p w14:paraId="47633FD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75"/>
        <w:jc w:val="both"/>
        <w:textAlignment w:val="baseline"/>
        <w:rPr>
          <w:rFonts w:hint="eastAsia" w:ascii="宋体" w:hAnsi="宋体" w:eastAsia="宋体" w:cs="宋体"/>
          <w:color w:val="auto"/>
          <w:spacing w:val="0"/>
          <w:position w:val="0"/>
          <w:sz w:val="32"/>
          <w:szCs w:val="32"/>
          <w:lang w:val="en-US" w:eastAsia="zh-CN"/>
        </w:rPr>
      </w:pPr>
      <w:r>
        <w:rPr>
          <w:rFonts w:hint="eastAsia" w:ascii="宋体" w:hAnsi="宋体" w:eastAsia="宋体" w:cs="宋体"/>
          <w:color w:val="auto"/>
          <w:spacing w:val="0"/>
          <w:position w:val="0"/>
          <w:sz w:val="32"/>
          <w:szCs w:val="32"/>
          <w:lang w:val="en-US" w:eastAsia="zh-CN"/>
        </w:rPr>
        <w:t>以白城市化工园区为核心创建产业集聚，明确产业集聚目标，确定园区在区域中的功能定位，产业发展方向与特色，以树立和保持化工园区对外市场中的竞争力为核心，依托区域资源优势及吉林梅花氨基酸有限责任公司——全球最大的氨基酸生产基地，发展以氨基酸生产为主的生物化工产业，以绿色氢氨醇一体化为主的绿氢化工产业，同时兼具精细化工产业。</w:t>
      </w:r>
    </w:p>
    <w:p w14:paraId="1D5111B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jc w:val="both"/>
        <w:textAlignment w:val="baseline"/>
        <w:rPr>
          <w:rFonts w:hint="eastAsia" w:ascii="仿宋" w:hAnsi="仿宋" w:eastAsia="仿宋" w:cs="仿宋"/>
          <w:color w:val="auto"/>
          <w:spacing w:val="0"/>
          <w:position w:val="0"/>
          <w:sz w:val="32"/>
          <w:szCs w:val="32"/>
        </w:rPr>
      </w:pPr>
      <w:r>
        <w:rPr>
          <w:rFonts w:hint="eastAsia" w:ascii="仿宋" w:hAnsi="仿宋" w:eastAsia="仿宋" w:cs="仿宋"/>
          <w:b/>
          <w:bCs/>
          <w:color w:val="auto"/>
          <w:spacing w:val="0"/>
          <w:position w:val="0"/>
          <w:sz w:val="32"/>
          <w:szCs w:val="32"/>
          <w:lang w:val="en-US" w:eastAsia="zh-CN"/>
        </w:rPr>
        <w:t xml:space="preserve">  </w:t>
      </w:r>
      <w:r>
        <w:rPr>
          <w:rFonts w:hint="eastAsia" w:ascii="仿宋" w:hAnsi="仿宋" w:eastAsia="仿宋" w:cs="仿宋"/>
          <w:color w:val="auto"/>
          <w:spacing w:val="0"/>
          <w:position w:val="0"/>
          <w:sz w:val="32"/>
          <w:szCs w:val="32"/>
        </w:rPr>
        <w:t xml:space="preserve"> </w:t>
      </w:r>
      <w:r>
        <w:rPr>
          <w:rFonts w:hint="eastAsia" w:ascii="仿宋" w:hAnsi="仿宋" w:eastAsia="仿宋" w:cs="仿宋"/>
          <w:color w:val="auto"/>
          <w:spacing w:val="0"/>
          <w:position w:val="0"/>
          <w:sz w:val="32"/>
          <w:szCs w:val="32"/>
          <w:lang w:val="en-US" w:eastAsia="zh-CN"/>
        </w:rPr>
        <w:t xml:space="preserve"> </w:t>
      </w:r>
      <w:r>
        <w:rPr>
          <w:rFonts w:hint="eastAsia" w:ascii="黑体" w:hAnsi="黑体" w:eastAsia="黑体" w:cs="黑体"/>
          <w:color w:val="auto"/>
          <w:spacing w:val="0"/>
          <w:position w:val="0"/>
          <w:sz w:val="32"/>
          <w:szCs w:val="32"/>
        </w:rPr>
        <w:t>园区发展目标</w:t>
      </w:r>
    </w:p>
    <w:p w14:paraId="793D981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position w:val="0"/>
          <w:sz w:val="32"/>
          <w:szCs w:val="32"/>
        </w:rPr>
      </w:pPr>
      <w:r>
        <w:rPr>
          <w:rFonts w:hint="eastAsia" w:ascii="宋体" w:hAnsi="宋体" w:eastAsia="宋体" w:cs="宋体"/>
          <w:color w:val="auto"/>
          <w:spacing w:val="0"/>
          <w:sz w:val="32"/>
          <w:szCs w:val="32"/>
          <w:lang w:val="en-US" w:eastAsia="zh-CN"/>
        </w:rPr>
        <w:t>到2035年，化工园区总投资达到700亿元，产值达到160亿元以上，使白城市化工园区化工产业实现产业结构显著优化、产业规模稳步增长、整体竞争力大幅提升的目标，并将园区建设成具有区域特色产业及核心竞争力的创新型化工园区，打造西部地区生物化工、绿氢化工和精细化工特色产业基地。</w:t>
      </w:r>
    </w:p>
    <w:p w14:paraId="6525D95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仿宋" w:hAnsi="仿宋" w:eastAsia="仿宋" w:cs="仿宋"/>
          <w:color w:val="auto"/>
          <w:spacing w:val="0"/>
          <w:position w:val="0"/>
          <w:sz w:val="32"/>
          <w:szCs w:val="32"/>
        </w:rPr>
        <w:t xml:space="preserve"> </w:t>
      </w:r>
      <w:r>
        <w:rPr>
          <w:rFonts w:hint="eastAsia" w:ascii="黑体" w:hAnsi="黑体" w:eastAsia="黑体" w:cs="黑体"/>
          <w:color w:val="auto"/>
          <w:spacing w:val="0"/>
          <w:sz w:val="32"/>
          <w:szCs w:val="32"/>
        </w:rPr>
        <w:t>氨基酸化工产业发展研判</w:t>
      </w:r>
    </w:p>
    <w:p w14:paraId="0232781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多种氨基酸及下游产品的技术已经非常成熟，中国已经拥有自主知识产权的核心技术。为氨基酸产业进一步高端化、规模化以及延伸氨基酸产业价值链发展提供了技术支撑。</w:t>
      </w:r>
    </w:p>
    <w:p w14:paraId="0A37168E">
      <w:pPr>
        <w:keepNext w:val="0"/>
        <w:keepLines w:val="0"/>
        <w:pageBreakBefore w:val="0"/>
        <w:widowControl/>
        <w:kinsoku w:val="0"/>
        <w:wordWrap/>
        <w:overflowPunct/>
        <w:topLinePunct w:val="0"/>
        <w:autoSpaceDE w:val="0"/>
        <w:autoSpaceDN w:val="0"/>
        <w:bidi w:val="0"/>
        <w:adjustRightInd w:val="0"/>
        <w:snapToGrid w:val="0"/>
        <w:spacing w:line="540" w:lineRule="exact"/>
        <w:ind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lang w:eastAsia="zh-CN"/>
        </w:rPr>
        <w:t>绿氢化工</w:t>
      </w:r>
      <w:r>
        <w:rPr>
          <w:rFonts w:hint="eastAsia" w:ascii="黑体" w:hAnsi="黑体" w:eastAsia="黑体" w:cs="黑体"/>
          <w:color w:val="auto"/>
          <w:spacing w:val="0"/>
          <w:sz w:val="32"/>
          <w:szCs w:val="32"/>
        </w:rPr>
        <w:t>行业发展研判</w:t>
      </w:r>
    </w:p>
    <w:p w14:paraId="75124F3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绿氢化工产业是战略性新兴产业和未来产业重点发展方向。可再生能源装机量全球第一，在清洁低碳的氢能供给上具有巨大潜力。国内氢能产业呈现积极发展态势，已初步掌握氢能制备、储运、加氢、燃料电池和系统集成等主要技术和生产工艺，在部分区域实现燃料电池汽车小规模示范应用，全产业链规模以上工业企业已超过 300 家。</w:t>
      </w:r>
    </w:p>
    <w:p w14:paraId="3E59A5D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position w:val="0"/>
          <w:sz w:val="32"/>
          <w:szCs w:val="32"/>
        </w:rPr>
      </w:pPr>
      <w:r>
        <w:rPr>
          <w:rFonts w:hint="eastAsia" w:ascii="黑体" w:hAnsi="黑体" w:eastAsia="黑体" w:cs="黑体"/>
          <w:color w:val="auto"/>
          <w:spacing w:val="0"/>
          <w:position w:val="0"/>
          <w:sz w:val="32"/>
          <w:szCs w:val="32"/>
        </w:rPr>
        <w:t>园区重点项目规划</w:t>
      </w:r>
    </w:p>
    <w:p w14:paraId="5B6B11D9">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白城市化工园区根据白城市自然资源条件，结合目前国内外市场情况，将园区规划为以氨基酸生产为主的生物化工，以绿色氢氨醇一体化为主的绿氢化工，同时兼具精细化工三大产业。</w:t>
      </w:r>
    </w:p>
    <w:p w14:paraId="72111D02">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lang w:eastAsia="zh-CN"/>
        </w:rPr>
      </w:pPr>
      <w:r>
        <w:rPr>
          <w:rFonts w:hint="eastAsia" w:ascii="黑体" w:hAnsi="黑体" w:eastAsia="黑体" w:cs="黑体"/>
          <w:color w:val="auto"/>
          <w:spacing w:val="0"/>
          <w:position w:val="0"/>
          <w:sz w:val="32"/>
          <w:szCs w:val="32"/>
        </w:rPr>
        <w:t xml:space="preserve">年产 </w:t>
      </w:r>
      <w:r>
        <w:rPr>
          <w:rFonts w:hint="eastAsia" w:ascii="黑体" w:hAnsi="黑体" w:eastAsia="黑体" w:cs="黑体"/>
          <w:b/>
          <w:bCs/>
          <w:color w:val="auto"/>
          <w:spacing w:val="0"/>
          <w:position w:val="0"/>
          <w:sz w:val="32"/>
          <w:szCs w:val="32"/>
        </w:rPr>
        <w:t>20</w:t>
      </w:r>
      <w:r>
        <w:rPr>
          <w:rFonts w:hint="eastAsia" w:ascii="黑体" w:hAnsi="黑体" w:eastAsia="黑体" w:cs="黑体"/>
          <w:color w:val="auto"/>
          <w:spacing w:val="0"/>
          <w:position w:val="0"/>
          <w:sz w:val="32"/>
          <w:szCs w:val="32"/>
        </w:rPr>
        <w:t xml:space="preserve"> 万吨戊二胺项目</w:t>
      </w:r>
    </w:p>
    <w:p w14:paraId="6CCAE90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戊二胺是 L-赖氨酸在 L-赖氨酸脱羧酶作用下脱羧的产物， 结构上与己二胺互为同系物，可以替代由传统化工方法生产的己二胺。通过对戊二胺产品进一步开发，与二元酸进行聚合反应可合成优质高分子材料-新型尼龙，可以替代尼龙66，是一种环保型的、可持续发展型的、耐高温的生物塑料。</w:t>
      </w:r>
    </w:p>
    <w:p w14:paraId="437C406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pPr>
      <w:r>
        <w:rPr>
          <w:rFonts w:hint="eastAsia" w:ascii="仿宋" w:hAnsi="仿宋" w:eastAsia="仿宋" w:cs="仿宋"/>
          <w:color w:val="auto"/>
          <w:spacing w:val="0"/>
          <w:position w:val="0"/>
          <w:sz w:val="32"/>
          <w:szCs w:val="32"/>
          <w:lang w:eastAsia="zh-CN"/>
        </w:rPr>
        <w:tab/>
      </w:r>
      <w:r>
        <w:rPr>
          <w:rFonts w:hint="eastAsia" w:ascii="黑体" w:hAnsi="黑体" w:eastAsia="黑体" w:cs="黑体"/>
          <w:b/>
          <w:bCs/>
          <w:color w:val="auto"/>
          <w:spacing w:val="0"/>
          <w:position w:val="0"/>
          <w:sz w:val="32"/>
          <w:szCs w:val="32"/>
        </w:rPr>
        <w:t>1</w:t>
      </w:r>
      <w:r>
        <w:rPr>
          <w:rFonts w:hint="eastAsia" w:ascii="黑体" w:hAnsi="黑体" w:eastAsia="黑体" w:cs="黑体"/>
          <w:color w:val="auto"/>
          <w:spacing w:val="0"/>
          <w:position w:val="0"/>
          <w:sz w:val="32"/>
          <w:szCs w:val="32"/>
        </w:rPr>
        <w:t xml:space="preserve"> 万吨聚碳酸二甲酯项目</w:t>
      </w:r>
    </w:p>
    <w:p w14:paraId="23274A7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碳酸二甲酯（DMC）主要应用于合成聚碳酸酯（PC）；生产甲基异氰 酸酯，进而生产某些氨基甲酸酯类农药；还可替代剧毒光气和 DMS 作为羰基化剂、甲基化剂生产多种化工产品；也可作为一种新型的燃料油添加剂，替代甲基叔丁基醚（MTBE），提高燃料油的辛烷值和氧含量，同时可减少环境污染；用作一种中等沸点的有机溶剂，广泛用于电化学及涂料等行业。</w:t>
      </w:r>
    </w:p>
    <w:p w14:paraId="4C3F78AA">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rPr>
      </w:pPr>
      <w:bookmarkStart w:id="5" w:name="_bookmark37"/>
      <w:bookmarkEnd w:id="5"/>
      <w:r>
        <w:rPr>
          <w:rFonts w:hint="eastAsia" w:ascii="黑体" w:hAnsi="黑体" w:eastAsia="黑体" w:cs="黑体"/>
          <w:color w:val="auto"/>
          <w:spacing w:val="0"/>
          <w:position w:val="0"/>
          <w:sz w:val="32"/>
          <w:szCs w:val="32"/>
        </w:rPr>
        <w:t xml:space="preserve">年产 </w:t>
      </w:r>
      <w:r>
        <w:rPr>
          <w:rFonts w:hint="eastAsia" w:ascii="黑体" w:hAnsi="黑体" w:eastAsia="黑体" w:cs="黑体"/>
          <w:b/>
          <w:bCs/>
          <w:color w:val="auto"/>
          <w:spacing w:val="0"/>
          <w:position w:val="0"/>
          <w:sz w:val="32"/>
          <w:szCs w:val="32"/>
        </w:rPr>
        <w:t>1</w:t>
      </w:r>
      <w:r>
        <w:rPr>
          <w:rFonts w:hint="eastAsia" w:ascii="黑体" w:hAnsi="黑体" w:eastAsia="黑体" w:cs="黑体"/>
          <w:color w:val="auto"/>
          <w:spacing w:val="0"/>
          <w:position w:val="0"/>
          <w:sz w:val="32"/>
          <w:szCs w:val="32"/>
        </w:rPr>
        <w:t xml:space="preserve"> 万吨异山梨醇项目</w:t>
      </w:r>
    </w:p>
    <w:p w14:paraId="3788A89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山梨醇是各类淀粉经过水解生成葡萄糖，葡萄糖在加氢催化剂作用下经过加氢还原制得的。异山梨醇主要由山梨醇两步脱水法制备。</w:t>
      </w:r>
    </w:p>
    <w:p w14:paraId="44008BC1">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rPr>
      </w:pPr>
      <w:bookmarkStart w:id="6" w:name="_bookmark39"/>
      <w:bookmarkEnd w:id="6"/>
      <w:r>
        <w:rPr>
          <w:rFonts w:hint="eastAsia" w:ascii="黑体" w:hAnsi="黑体" w:eastAsia="黑体" w:cs="黑体"/>
          <w:color w:val="auto"/>
          <w:spacing w:val="0"/>
          <w:position w:val="0"/>
          <w:sz w:val="32"/>
          <w:szCs w:val="32"/>
        </w:rPr>
        <w:t xml:space="preserve">年产 </w:t>
      </w:r>
      <w:r>
        <w:rPr>
          <w:rFonts w:hint="eastAsia" w:ascii="黑体" w:hAnsi="黑体" w:eastAsia="黑体" w:cs="黑体"/>
          <w:b/>
          <w:bCs/>
          <w:color w:val="auto"/>
          <w:spacing w:val="0"/>
          <w:position w:val="0"/>
          <w:sz w:val="32"/>
          <w:szCs w:val="32"/>
        </w:rPr>
        <w:t>5</w:t>
      </w:r>
      <w:r>
        <w:rPr>
          <w:rFonts w:hint="eastAsia" w:ascii="黑体" w:hAnsi="黑体" w:eastAsia="黑体" w:cs="黑体"/>
          <w:color w:val="auto"/>
          <w:spacing w:val="0"/>
          <w:position w:val="0"/>
          <w:sz w:val="32"/>
          <w:szCs w:val="32"/>
        </w:rPr>
        <w:t xml:space="preserve"> 万吨生物基环保聚醚多元醇项目</w:t>
      </w:r>
    </w:p>
    <w:p w14:paraId="3B55FD8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聚醚多元醇是合成聚氨酯的一种重要原料。聚醚多元醇多种多样，根据最终产品的用途，可以分为硬泡聚醚多元醇，软泡聚醚多元醇，高回弹聚醚多元醇，低回弹聚醚多元醇，聚合物聚醚多元醇等。其中，硬泡聚醚多元醇和软泡聚醚多元醇是用量最大的两种类型。项目用可再生的淀粉为主要原料，转化成生物质基聚醚多元醇代替石化产品聚醚多元醇，制备可降解聚氨酯泡沫塑料。</w:t>
      </w:r>
    </w:p>
    <w:p w14:paraId="499489E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rPr>
        <w:t xml:space="preserve">年产 </w:t>
      </w:r>
      <w:r>
        <w:rPr>
          <w:rFonts w:hint="eastAsia" w:ascii="黑体" w:hAnsi="黑体" w:eastAsia="黑体" w:cs="黑体"/>
          <w:b/>
          <w:bCs/>
          <w:color w:val="auto"/>
          <w:spacing w:val="0"/>
          <w:position w:val="0"/>
          <w:sz w:val="32"/>
          <w:szCs w:val="32"/>
        </w:rPr>
        <w:t>2</w:t>
      </w:r>
      <w:r>
        <w:rPr>
          <w:rFonts w:hint="eastAsia" w:ascii="黑体" w:hAnsi="黑体" w:eastAsia="黑体" w:cs="黑体"/>
          <w:color w:val="auto"/>
          <w:spacing w:val="0"/>
          <w:position w:val="0"/>
          <w:sz w:val="32"/>
          <w:szCs w:val="32"/>
        </w:rPr>
        <w:t xml:space="preserve"> 万吨木质素基阻燃剂及阻燃聚氨酯项目</w:t>
      </w:r>
    </w:p>
    <w:p w14:paraId="79D9ED7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木质素基阻燃聚氨酯的开发与生物质燃料乙醇工业副产物木 质素的综合利用及高值化应用直接关联，提升生物基原材料的应用价值。</w:t>
      </w:r>
    </w:p>
    <w:p w14:paraId="5C7578B7">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木素阻燃聚氨酯，广泛用于聚氨酯薄膜、聚氨酯弹性体、聚氨酯泡沫、聚氨酯胶黏剂。</w:t>
      </w:r>
    </w:p>
    <w:p w14:paraId="3D44F1D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rPr>
      </w:pPr>
      <w:r>
        <w:rPr>
          <w:rFonts w:hint="eastAsia" w:ascii="黑体" w:hAnsi="黑体" w:eastAsia="黑体" w:cs="黑体"/>
          <w:color w:val="auto"/>
          <w:spacing w:val="0"/>
          <w:position w:val="0"/>
          <w:sz w:val="32"/>
          <w:szCs w:val="32"/>
          <w:lang w:val="en-US" w:eastAsia="zh-CN"/>
        </w:rPr>
        <w:t>零碳氢氨醇一体化项目</w:t>
      </w:r>
    </w:p>
    <w:p w14:paraId="05CDD576">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项目投资 300 亿元，分两期实施，建设期为 5 年，主要年产 60 万吨零碳氨、30 万吨合成甲醇及零碳氢、零碳氧、零碳氩等气体，匹配风光资源 390 万千瓦。</w:t>
      </w:r>
    </w:p>
    <w:p w14:paraId="3826B728">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lang w:val="en-US" w:eastAsia="zh-CN"/>
        </w:rPr>
      </w:pPr>
      <w:r>
        <w:rPr>
          <w:rFonts w:hint="eastAsia" w:ascii="黑体" w:hAnsi="黑体" w:eastAsia="黑体" w:cs="黑体"/>
          <w:color w:val="auto"/>
          <w:spacing w:val="0"/>
          <w:position w:val="0"/>
          <w:sz w:val="32"/>
          <w:szCs w:val="32"/>
          <w:lang w:val="en-US" w:eastAsia="zh-CN"/>
        </w:rPr>
        <w:t>40 万吨绿色甲醇生产项目</w:t>
      </w:r>
    </w:p>
    <w:p w14:paraId="0806309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项目拟建设年消耗 50 万吨生物质原料、年消纳 5 万吨绿氢，年产量 40 万吨绿色甲醇生产工厂，其中一期 12 万吨生物质制绿色甲醇；二期耦合绿氢制绿色甲醇 40 万吨，项目建成达产后，预计年可实现产值 20亿元。</w:t>
      </w:r>
    </w:p>
    <w:p w14:paraId="610925E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position w:val="0"/>
          <w:sz w:val="32"/>
          <w:szCs w:val="32"/>
          <w:lang w:val="en-US" w:eastAsia="zh-CN"/>
        </w:rPr>
      </w:pPr>
      <w:r>
        <w:rPr>
          <w:rFonts w:hint="eastAsia" w:ascii="黑体" w:hAnsi="黑体" w:eastAsia="黑体" w:cs="黑体"/>
          <w:color w:val="auto"/>
          <w:spacing w:val="0"/>
          <w:position w:val="0"/>
          <w:sz w:val="32"/>
          <w:szCs w:val="32"/>
          <w:lang w:val="en-US" w:eastAsia="zh-CN"/>
        </w:rPr>
        <w:t>绿色航油与绿色甲醇一体化项目</w:t>
      </w:r>
    </w:p>
    <w:p w14:paraId="13DE411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59"/>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中国电力工程顾问集团有限公司在白城市投资建设年产 30 万吨绿色航油和 30 万吨绿色甲醇的生产基地，总投资约 260 亿元，包括建设绿色航油工厂、绿色甲醇工厂、融合分布式新能源的生物质颗粒厂、90万千瓦集中式风电场和 10 万千瓦光伏电站、水电解制氢站及相应辅助生产设施等。</w:t>
      </w:r>
    </w:p>
    <w:p w14:paraId="32CA8B3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684" w:firstLineChars="200"/>
        <w:jc w:val="both"/>
        <w:textAlignment w:val="baseline"/>
        <w:rPr>
          <w:rFonts w:hint="eastAsia" w:ascii="黑体" w:hAnsi="黑体" w:eastAsia="黑体" w:cs="黑体"/>
          <w:color w:val="auto"/>
          <w:spacing w:val="11"/>
          <w:sz w:val="32"/>
          <w:szCs w:val="32"/>
        </w:rPr>
      </w:pPr>
      <w:r>
        <w:rPr>
          <w:rFonts w:hint="eastAsia" w:ascii="黑体" w:hAnsi="黑体" w:eastAsia="黑体" w:cs="黑体"/>
          <w:color w:val="auto"/>
          <w:spacing w:val="11"/>
          <w:sz w:val="32"/>
          <w:szCs w:val="32"/>
        </w:rPr>
        <w:t>空间规划及公用工程设施规划</w:t>
      </w:r>
    </w:p>
    <w:p w14:paraId="7BF27C2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59"/>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白城市化工园区规划区按功能分为 3 个生产功能片区，生物化工生产区、绿氢化工生产区和精细化工生产区。园区规划路网由主干路、次干路两个等级构成，呈方格网状。珠江路和 302 国道做为化工园区外主要通道，化工园区规划了危险化学品运输通道、停车场、封闭式管理、智慧化管理、给水工程、污水工程、雨水工程、电力工程、通信工程、燃气工程等各种配套设施。</w:t>
      </w:r>
    </w:p>
    <w:p w14:paraId="748D47B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firstLine="680" w:firstLineChars="200"/>
        <w:jc w:val="both"/>
        <w:textAlignment w:val="baseline"/>
        <w:rPr>
          <w:rFonts w:hint="eastAsia" w:ascii="黑体" w:hAnsi="黑体" w:eastAsia="黑体" w:cs="黑体"/>
          <w:color w:val="auto"/>
          <w:sz w:val="32"/>
          <w:szCs w:val="32"/>
        </w:rPr>
      </w:pPr>
      <w:bookmarkStart w:id="7" w:name="_bookmark51"/>
      <w:bookmarkEnd w:id="7"/>
      <w:r>
        <w:rPr>
          <w:rFonts w:hint="eastAsia" w:ascii="黑体" w:hAnsi="黑体" w:eastAsia="黑体" w:cs="黑体"/>
          <w:color w:val="auto"/>
          <w:spacing w:val="10"/>
          <w:sz w:val="32"/>
          <w:szCs w:val="32"/>
        </w:rPr>
        <w:t>安全生产和防灾减灾规划</w:t>
      </w:r>
    </w:p>
    <w:p w14:paraId="1FED5234">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559"/>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化工园区成立专门安全管理机构，负责对化工区的安全生产进行监督和管理。安全生产管理机构配置一定数量的具有化工安全生产实践经验的人员。园区内以后入驻企业应按要求设置专门的安全管理机构，配备安全管理人员进行安全管理工作。根据企业数量、产业特点、整体安全风险状况，配备满足安全监管需要的人员，园区管委会应设置专门的应急救援指挥中心，依托当地消防机构和医疗机构，并设置应急救援物资储备中心，建立完善的应急救援系统，在事故发生之初就能及时应战，及时消除事故危害，保障人员生产和财产安全。</w:t>
      </w:r>
    </w:p>
    <w:p w14:paraId="5669CDA5">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lang w:eastAsia="zh-CN"/>
        </w:rPr>
      </w:pPr>
      <w:r>
        <w:rPr>
          <w:rFonts w:hint="eastAsia" w:ascii="黑体" w:hAnsi="黑体" w:eastAsia="黑体" w:cs="黑体"/>
          <w:color w:val="auto"/>
          <w:spacing w:val="0"/>
          <w:sz w:val="32"/>
          <w:szCs w:val="32"/>
        </w:rPr>
        <w:t>主要污染</w:t>
      </w:r>
      <w:r>
        <w:rPr>
          <w:rFonts w:hint="eastAsia" w:ascii="黑体" w:hAnsi="黑体" w:eastAsia="黑体" w:cs="黑体"/>
          <w:color w:val="auto"/>
          <w:spacing w:val="0"/>
          <w:sz w:val="32"/>
          <w:szCs w:val="32"/>
          <w:lang w:eastAsia="zh-CN"/>
        </w:rPr>
        <w:t>防止措施</w:t>
      </w:r>
    </w:p>
    <w:p w14:paraId="781B7940">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position w:val="0"/>
          <w:sz w:val="32"/>
          <w:szCs w:val="32"/>
          <w:lang w:val="en-US" w:eastAsia="zh-CN"/>
        </w:rPr>
      </w:pPr>
      <w:r>
        <w:rPr>
          <w:rFonts w:hint="eastAsia" w:ascii="宋体" w:hAnsi="宋体" w:eastAsia="宋体" w:cs="宋体"/>
          <w:color w:val="auto"/>
          <w:spacing w:val="0"/>
          <w:sz w:val="32"/>
          <w:szCs w:val="32"/>
          <w:lang w:val="en-US" w:eastAsia="zh-CN"/>
        </w:rPr>
        <w:t>园区重点发展区域采取雨污分流制。雨水采取就近原则，根据地势，由敷设的雨水管道汇入水体中。加强污水处理厂中水回用工程建设，规划中水回用比例达到 25%。对于企业内部废水，主要从废水预处理、建立完善的废水收集和排放体系两方面加强环境管理。制定突发事故水污染防治应急预案。控制排放含持久性污染物生产废水的企业进入化工园区。对集中供暖范围内企业采用集中供暖，不在供暖范围内的企业使用电、天然气或其他清洁能源。入区企业要严格执行“三同时”，优化工艺流程，推行清洁生产工艺，对污染物排放量进行全过程控制。工业企业加强工业废气控制。对新建排放工业废气的企业，明确污染物种类、产生量和排放总量，为确保规划项目的工艺废气达标。提高清洁生产水平，推行 ISO14000 环境管理体系，提高整个规划区的环境管理水平。加强扬尘控制，深化面源污染管理。根据垃圾的可否再生利用，处理难易程度等特点，由企业先进行分类处理。主要噪声源为工业噪声、交通噪声及施工机械噪声，在建设期及营运期建议采取噪声防治措施。</w:t>
      </w:r>
    </w:p>
    <w:p w14:paraId="510F9AA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rPr>
        <w:t>环境风险应急预案</w:t>
      </w:r>
    </w:p>
    <w:p w14:paraId="616AB84F">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bookmarkStart w:id="8" w:name="_bookmark64"/>
      <w:bookmarkEnd w:id="8"/>
      <w:bookmarkStart w:id="9" w:name="_bookmark63"/>
      <w:bookmarkEnd w:id="9"/>
      <w:bookmarkStart w:id="10" w:name="_bookmark65"/>
      <w:bookmarkEnd w:id="10"/>
      <w:r>
        <w:rPr>
          <w:rFonts w:hint="eastAsia" w:ascii="宋体" w:hAnsi="宋体" w:eastAsia="宋体" w:cs="宋体"/>
          <w:color w:val="auto"/>
          <w:spacing w:val="0"/>
          <w:sz w:val="32"/>
          <w:szCs w:val="32"/>
          <w:lang w:val="en-US" w:eastAsia="zh-CN"/>
        </w:rPr>
        <w:t>园区管理机构应按照《突发环境事件应急管理办法》（环发[2015] 34号）、吉林省人民政府办公厅关于印发省突发环境事件应急预案的通知、《突发环境事件应急预案管理暂行办法》（环发〔2010〕113 号）的要求，编制突发环境事件应急预案，并及时向市环保部门备案。园区内所有投产（含试生产）企业应开展应急预案的编制、评估、发布、备案、演练工作，并做好与园区整体应急预案的对接。</w:t>
      </w:r>
    </w:p>
    <w:p w14:paraId="721D093B">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rPr>
        <w:t>经济效益及投资强度</w:t>
      </w:r>
    </w:p>
    <w:p w14:paraId="488CA4A2">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白城市化工园区预计到2035年形成以生物化工、绿氢化工、精细化工产业为主的化工产业集群，化工园区总投资达到700亿元，产值达到160亿元以上，将白城市化工园区建成高科技、高质量、高效益的具有白城特色的化工产业园区。</w:t>
      </w:r>
    </w:p>
    <w:p w14:paraId="7B90441C">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320" w:firstLineChars="100"/>
        <w:jc w:val="both"/>
        <w:textAlignment w:val="baseline"/>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 xml:space="preserve"> </w:t>
      </w:r>
      <w:r>
        <w:rPr>
          <w:rFonts w:hint="eastAsia" w:ascii="仿宋" w:hAnsi="仿宋" w:eastAsia="仿宋" w:cs="仿宋"/>
          <w:color w:val="auto"/>
          <w:spacing w:val="0"/>
          <w:sz w:val="32"/>
          <w:szCs w:val="32"/>
          <w:lang w:val="en-US" w:eastAsia="zh-CN"/>
        </w:rPr>
        <w:t xml:space="preserve"> </w:t>
      </w:r>
      <w:r>
        <w:rPr>
          <w:rFonts w:hint="eastAsia" w:ascii="黑体" w:hAnsi="黑体" w:eastAsia="黑体" w:cs="黑体"/>
          <w:color w:val="auto"/>
          <w:spacing w:val="0"/>
          <w:sz w:val="32"/>
          <w:szCs w:val="32"/>
        </w:rPr>
        <w:t>投资强度分析</w:t>
      </w:r>
    </w:p>
    <w:p w14:paraId="3BBF8983">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到规划期限内，园区规划重点项目总投资达到700亿元，园区总占地面积4.58平方公里，投资强度为15283万元/公顷。</w:t>
      </w:r>
    </w:p>
    <w:p w14:paraId="540CCE8A">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黑体" w:hAnsi="黑体" w:eastAsia="黑体" w:cs="黑体"/>
          <w:color w:val="auto"/>
          <w:spacing w:val="0"/>
          <w:sz w:val="32"/>
          <w:szCs w:val="32"/>
        </w:rPr>
      </w:pPr>
      <w:r>
        <w:rPr>
          <w:rFonts w:hint="eastAsia" w:ascii="黑体" w:hAnsi="黑体" w:eastAsia="黑体" w:cs="黑体"/>
          <w:color w:val="auto"/>
          <w:spacing w:val="0"/>
          <w:sz w:val="32"/>
          <w:szCs w:val="32"/>
        </w:rPr>
        <w:t>实施步骤及保障措施</w:t>
      </w:r>
    </w:p>
    <w:p w14:paraId="05D5BC84">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确定园区产能总量规模。结合市场需求、资源承载能力、环 境容量，以此为依据，规划园区产品的拓展方向。加快资源优化组合，优化产品结构，推动节能减排。鼓励现企业按产业链资源优化组合。确立园区定位及整体规划。根据产业规划，完善园区内的交 通、给水、排水、热力、燃气、电力、通信、仓储、物流、服务业等 配套基础设施。做好项目的技术储备和人才储备，分期分批分层次的进行建设，确保园区的有序发展。</w:t>
      </w:r>
    </w:p>
    <w:p w14:paraId="388CA32E">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宋体" w:hAnsi="宋体" w:eastAsia="宋体" w:cs="宋体"/>
          <w:color w:val="auto"/>
          <w:spacing w:val="0"/>
          <w:sz w:val="32"/>
          <w:szCs w:val="32"/>
          <w:lang w:val="en-US" w:eastAsia="zh-CN"/>
        </w:rPr>
      </w:pPr>
      <w:r>
        <w:rPr>
          <w:rFonts w:hint="eastAsia" w:ascii="宋体" w:hAnsi="宋体" w:eastAsia="宋体" w:cs="宋体"/>
          <w:color w:val="auto"/>
          <w:spacing w:val="0"/>
          <w:sz w:val="32"/>
          <w:szCs w:val="32"/>
          <w:lang w:val="en-US" w:eastAsia="zh-CN"/>
        </w:rPr>
        <w:t>争取上级政策支持。使白城市化工园区成为全球最大氨基酸生产基地。 加大开放力度、引进合作伙伴、引进资金、引进技术、引进人才、引进项目，借用外力发展壮大自己。支持骨干企业项目建设，加快技术进步，增强产业竞争力。坚持以循环经济的理念发展产业，提高资源、能源利用效率。努力拓宽融资渠道，积极筹措建设资金。</w:t>
      </w:r>
    </w:p>
    <w:p w14:paraId="492B514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sz w:val="32"/>
          <w:szCs w:val="32"/>
          <w:lang w:val="en-US" w:eastAsia="zh-CN"/>
        </w:rPr>
      </w:pPr>
    </w:p>
    <w:p w14:paraId="4C72AA5F">
      <w:pPr>
        <w:keepNext w:val="0"/>
        <w:keepLines w:val="0"/>
        <w:widowControl/>
        <w:suppressLineNumbers w:val="0"/>
        <w:jc w:val="left"/>
      </w:pPr>
    </w:p>
    <w:p w14:paraId="58E8778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sz w:val="32"/>
          <w:szCs w:val="32"/>
          <w:lang w:val="en-US" w:eastAsia="zh-CN"/>
        </w:rPr>
      </w:pPr>
    </w:p>
    <w:p w14:paraId="190FA2C2">
      <w:pPr>
        <w:keepNext w:val="0"/>
        <w:keepLines w:val="0"/>
        <w:widowControl/>
        <w:suppressLineNumbers w:val="0"/>
        <w:jc w:val="left"/>
      </w:pPr>
    </w:p>
    <w:p w14:paraId="4A2BCB3D">
      <w:pPr>
        <w:keepNext w:val="0"/>
        <w:keepLines w:val="0"/>
        <w:pageBreakBefore w:val="0"/>
        <w:widowControl/>
        <w:kinsoku w:val="0"/>
        <w:wordWrap/>
        <w:overflowPunct/>
        <w:topLinePunct w:val="0"/>
        <w:autoSpaceDE w:val="0"/>
        <w:autoSpaceDN w:val="0"/>
        <w:bidi w:val="0"/>
        <w:adjustRightInd w:val="0"/>
        <w:snapToGrid w:val="0"/>
        <w:spacing w:line="540" w:lineRule="exact"/>
        <w:ind w:left="0" w:leftChars="0" w:right="0" w:firstLine="640" w:firstLineChars="200"/>
        <w:jc w:val="both"/>
        <w:textAlignment w:val="baseline"/>
        <w:rPr>
          <w:rFonts w:hint="eastAsia" w:ascii="仿宋" w:hAnsi="仿宋" w:eastAsia="仿宋" w:cs="仿宋"/>
          <w:color w:val="auto"/>
          <w:spacing w:val="0"/>
          <w:sz w:val="32"/>
          <w:szCs w:val="32"/>
          <w:lang w:val="en-US" w:eastAsia="zh-CN"/>
        </w:rPr>
      </w:pPr>
    </w:p>
    <w:p w14:paraId="0494E326">
      <w:pPr>
        <w:keepNext w:val="0"/>
        <w:keepLines w:val="0"/>
        <w:widowControl/>
        <w:suppressLineNumbers w:val="0"/>
        <w:jc w:val="left"/>
        <w:rPr>
          <w:rFonts w:hint="eastAsia" w:ascii="仿宋" w:hAnsi="仿宋" w:eastAsia="仿宋" w:cs="仿宋"/>
          <w:color w:val="auto"/>
          <w:spacing w:val="0"/>
          <w:sz w:val="32"/>
          <w:szCs w:val="32"/>
        </w:rPr>
      </w:pPr>
    </w:p>
    <w:p w14:paraId="6A45B973">
      <w:pPr>
        <w:keepNext w:val="0"/>
        <w:keepLines w:val="0"/>
        <w:pageBreakBefore w:val="0"/>
        <w:widowControl/>
        <w:kinsoku w:val="0"/>
        <w:wordWrap/>
        <w:overflowPunct/>
        <w:topLinePunct w:val="0"/>
        <w:autoSpaceDE w:val="0"/>
        <w:autoSpaceDN w:val="0"/>
        <w:bidi w:val="0"/>
        <w:adjustRightInd w:val="0"/>
        <w:snapToGrid w:val="0"/>
        <w:spacing w:line="540" w:lineRule="exact"/>
        <w:jc w:val="both"/>
        <w:textAlignment w:val="baseline"/>
        <w:rPr>
          <w:rFonts w:hint="eastAsia"/>
          <w:lang w:eastAsia="zh-CN"/>
        </w:rPr>
      </w:pPr>
    </w:p>
    <w:sectPr>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46AB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5445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805445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F1A5B">
    <w:pPr>
      <w:spacing w:line="191" w:lineRule="auto"/>
      <w:ind w:left="451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0727C">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80727C">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iYjIzZDdjMWE3MGIxODgyYjExODI1MTI4NTRiMzEifQ=="/>
  </w:docVars>
  <w:rsids>
    <w:rsidRoot w:val="66E677D5"/>
    <w:rsid w:val="00C13C3A"/>
    <w:rsid w:val="0A781B03"/>
    <w:rsid w:val="0BC47688"/>
    <w:rsid w:val="0E8C5E08"/>
    <w:rsid w:val="0F9513BE"/>
    <w:rsid w:val="10DE63FB"/>
    <w:rsid w:val="139522AD"/>
    <w:rsid w:val="14906953"/>
    <w:rsid w:val="16DC599E"/>
    <w:rsid w:val="2C2045B2"/>
    <w:rsid w:val="2CA50429"/>
    <w:rsid w:val="30006A0A"/>
    <w:rsid w:val="339F0D5E"/>
    <w:rsid w:val="341B1908"/>
    <w:rsid w:val="38EE1CC0"/>
    <w:rsid w:val="3A2670C8"/>
    <w:rsid w:val="3EDC2D6A"/>
    <w:rsid w:val="44656DDA"/>
    <w:rsid w:val="4558794F"/>
    <w:rsid w:val="4AF6580D"/>
    <w:rsid w:val="4C12586E"/>
    <w:rsid w:val="516629B7"/>
    <w:rsid w:val="54FD30A5"/>
    <w:rsid w:val="5AB10CE1"/>
    <w:rsid w:val="5B6355F0"/>
    <w:rsid w:val="60D61786"/>
    <w:rsid w:val="657F1277"/>
    <w:rsid w:val="65B64FAA"/>
    <w:rsid w:val="66E677D5"/>
    <w:rsid w:val="69BE7226"/>
    <w:rsid w:val="6A1F6AD3"/>
    <w:rsid w:val="6C9C04C7"/>
    <w:rsid w:val="71B80DE6"/>
    <w:rsid w:val="76584C16"/>
    <w:rsid w:val="7D321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7492</Words>
  <Characters>7906</Characters>
  <Lines>0</Lines>
  <Paragraphs>0</Paragraphs>
  <TotalTime>7</TotalTime>
  <ScaleCrop>false</ScaleCrop>
  <LinksUpToDate>false</LinksUpToDate>
  <CharactersWithSpaces>8115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2023-07-28T09:44:00Z</dcterms:created>
  <dc:creator>sweet</dc:creator>
  <cp:lastModifiedBy>星~雨</cp:lastModifiedBy>
  <cp:lastPrinted>2023-07-28T10:11:00Z</cp:lastPrinted>
  <dcterms:modified xsi:type="dcterms:W3CDTF">2024-09-20T09:23:08Z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46D91231423C48C4B89BC41DD6BC2E43_13</vt:lpwstr>
  </property>
</Properties>
</file>